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72BA9C5D"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D22012" w:rsidRPr="00D22012">
        <w:rPr>
          <w:rFonts w:eastAsia="MS Mincho" w:cs="Arial"/>
          <w:kern w:val="0"/>
          <w:sz w:val="24"/>
          <w:szCs w:val="24"/>
          <w:lang w:val="en-US" w:eastAsia="en-US"/>
        </w:rPr>
        <w:t>TSG-RAN WG1 Meeting #90</w:t>
      </w:r>
      <w:r w:rsidR="00C94FDA">
        <w:rPr>
          <w:rFonts w:eastAsia="MS Mincho" w:cs="Arial"/>
          <w:kern w:val="0"/>
          <w:sz w:val="24"/>
          <w:szCs w:val="24"/>
          <w:lang w:val="en-US" w:eastAsia="en-US"/>
        </w:rPr>
        <w:t>bis</w:t>
      </w:r>
      <w:r w:rsidR="00A9335C" w:rsidRPr="001F1128">
        <w:rPr>
          <w:rFonts w:eastAsia="MS Mincho" w:cs="Arial"/>
          <w:kern w:val="0"/>
          <w:sz w:val="24"/>
          <w:szCs w:val="24"/>
          <w:lang w:val="en-US" w:eastAsia="en-US"/>
        </w:rPr>
        <w:tab/>
      </w:r>
      <w:bookmarkStart w:id="0" w:name="_GoBack"/>
      <w:r w:rsidR="00312978" w:rsidRPr="00312978">
        <w:rPr>
          <w:rFonts w:eastAsia="MS Mincho" w:cs="Arial"/>
          <w:kern w:val="0"/>
          <w:sz w:val="24"/>
          <w:szCs w:val="24"/>
          <w:lang w:val="en-US" w:eastAsia="en-US"/>
        </w:rPr>
        <w:t>R1-1717011</w:t>
      </w:r>
      <w:bookmarkEnd w:id="0"/>
    </w:p>
    <w:p w14:paraId="0D62D7B0" w14:textId="77777777" w:rsidR="00D22012" w:rsidRDefault="00D22012" w:rsidP="001F1128">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Prague, Czech Republic</w:t>
      </w:r>
    </w:p>
    <w:p w14:paraId="3CDAFA8C" w14:textId="164A2710" w:rsidR="00D0025C" w:rsidRPr="00D0025C" w:rsidRDefault="00C94FDA" w:rsidP="00D0025C">
      <w:pPr>
        <w:pStyle w:val="3GPPHeader"/>
        <w:spacing w:after="120"/>
        <w:rPr>
          <w:rFonts w:ascii="Arial" w:hAnsi="Arial" w:cs="Arial"/>
          <w:sz w:val="22"/>
        </w:rPr>
      </w:pPr>
      <w:r w:rsidRPr="00C94FDA">
        <w:rPr>
          <w:rFonts w:ascii="Arial" w:hAnsi="Arial" w:cs="Arial"/>
          <w:lang w:val="en-GB" w:eastAsia="en-US"/>
        </w:rPr>
        <w:t>9th – 13th Oct 2017</w:t>
      </w:r>
    </w:p>
    <w:p w14:paraId="37CAA1D4" w14:textId="59F7A2DB"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312978" w:rsidRPr="00312978">
        <w:rPr>
          <w:rFonts w:ascii="Arial" w:hAnsi="Arial" w:cs="Arial"/>
          <w:b w:val="0"/>
          <w:bCs/>
          <w:sz w:val="22"/>
        </w:rPr>
        <w:t>6.2.6.1.1.3</w:t>
      </w:r>
      <w:r w:rsidR="00312978" w:rsidRPr="00312978">
        <w:rPr>
          <w:rFonts w:ascii="Arial" w:hAnsi="Arial" w:cs="Arial"/>
          <w:b w:val="0"/>
          <w:bCs/>
          <w:sz w:val="22"/>
        </w:rPr>
        <w:tab/>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695008B6"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662B1C">
        <w:rPr>
          <w:rFonts w:ascii="Arial" w:hAnsi="Arial" w:cs="Arial"/>
          <w:b w:val="0"/>
          <w:bCs/>
          <w:sz w:val="22"/>
        </w:rPr>
        <w:t xml:space="preserve">On </w:t>
      </w:r>
      <w:r w:rsidR="00BF13B1">
        <w:rPr>
          <w:rFonts w:ascii="Arial" w:hAnsi="Arial" w:cs="Arial"/>
          <w:b w:val="0"/>
          <w:bCs/>
          <w:sz w:val="22"/>
        </w:rPr>
        <w:t xml:space="preserve">the Design of Wake-up Signal </w:t>
      </w:r>
    </w:p>
    <w:p w14:paraId="6B8C08A1"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7EE1BCD9" w14:textId="77777777" w:rsidR="00841A5A" w:rsidRDefault="00D0025C" w:rsidP="00841A5A">
      <w:pPr>
        <w:pStyle w:val="Heading1"/>
      </w:pPr>
      <w:bookmarkStart w:id="1" w:name="_Ref409106980"/>
      <w:r w:rsidRPr="00040C32">
        <w:t>Introduction</w:t>
      </w:r>
      <w:bookmarkStart w:id="2" w:name="_Ref465843822"/>
      <w:bookmarkEnd w:id="1"/>
    </w:p>
    <w:p w14:paraId="6A174D0C" w14:textId="40E60AFA" w:rsidR="00CA5DB9" w:rsidRDefault="00514643" w:rsidP="002E4A59">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BC5820">
        <w:t>[1]</w:t>
      </w:r>
      <w:r>
        <w:fldChar w:fldCharType="end"/>
      </w:r>
      <w:r>
        <w:t xml:space="preserve">. </w:t>
      </w:r>
      <w:r w:rsidR="00C1703B">
        <w:rPr>
          <w:rFonts w:cs="Arial"/>
        </w:rPr>
        <w:t>To further reduce the UE power consumption, it is agreed to design a p</w:t>
      </w:r>
      <w:r w:rsidR="00C1703B" w:rsidRPr="00C1703B">
        <w:rPr>
          <w:rFonts w:cs="Arial"/>
        </w:rPr>
        <w:t>hysical signal/channel that can be efficiently decoded or detected prior to decoding NPDCCH/NPDSCH</w:t>
      </w:r>
      <w:r w:rsidR="00C1703B">
        <w:rPr>
          <w:rFonts w:cs="Arial"/>
        </w:rPr>
        <w:t xml:space="preserve">. In RAN1#90, the following working assumptions are made regarding to the precursor signal that </w:t>
      </w:r>
    </w:p>
    <w:p w14:paraId="4B9E42F2" w14:textId="13458A73" w:rsidR="00C1703B" w:rsidRDefault="00C1703B" w:rsidP="002E4A59">
      <w:pPr>
        <w:jc w:val="both"/>
        <w:rPr>
          <w:rFonts w:cs="Arial"/>
        </w:rPr>
      </w:pPr>
      <w:r>
        <w:rPr>
          <w:rFonts w:cs="Arial"/>
        </w:rPr>
        <w:t>“</w:t>
      </w:r>
    </w:p>
    <w:p w14:paraId="03021901" w14:textId="77777777" w:rsidR="00C1703B" w:rsidRPr="00C1703B" w:rsidRDefault="00C1703B" w:rsidP="00C1703B">
      <w:pPr>
        <w:numPr>
          <w:ilvl w:val="0"/>
          <w:numId w:val="17"/>
        </w:numPr>
        <w:spacing w:after="0"/>
        <w:rPr>
          <w:i/>
        </w:rPr>
      </w:pPr>
      <w:r w:rsidRPr="00C1703B">
        <w:rPr>
          <w:i/>
        </w:rPr>
        <w:t>For idle mode,</w:t>
      </w:r>
    </w:p>
    <w:p w14:paraId="0285F091" w14:textId="77777777" w:rsidR="00C1703B" w:rsidRPr="00C1703B" w:rsidRDefault="00C1703B" w:rsidP="00C1703B">
      <w:pPr>
        <w:numPr>
          <w:ilvl w:val="1"/>
          <w:numId w:val="17"/>
        </w:numPr>
        <w:spacing w:after="0"/>
        <w:rPr>
          <w:i/>
        </w:rPr>
      </w:pPr>
      <w:r w:rsidRPr="00C1703B">
        <w:rPr>
          <w:i/>
        </w:rPr>
        <w:t>In specifying a power saving physical signal to indicate whether the UE needs to decode subsequent physical channel(s) for idle mode paging, select a candidate among the following power saving physical signals:</w:t>
      </w:r>
    </w:p>
    <w:p w14:paraId="676A9CCE" w14:textId="77777777" w:rsidR="00C1703B" w:rsidRPr="00C1703B" w:rsidRDefault="00C1703B" w:rsidP="00C1703B">
      <w:pPr>
        <w:numPr>
          <w:ilvl w:val="2"/>
          <w:numId w:val="17"/>
        </w:numPr>
        <w:spacing w:after="0"/>
        <w:rPr>
          <w:i/>
        </w:rPr>
      </w:pPr>
      <w:r w:rsidRPr="00C1703B">
        <w:rPr>
          <w:i/>
        </w:rPr>
        <w:t>Wake-up signal or DTX</w:t>
      </w:r>
    </w:p>
    <w:p w14:paraId="000E692C" w14:textId="77777777" w:rsidR="00C1703B" w:rsidRPr="00C1703B" w:rsidRDefault="00C1703B" w:rsidP="00C1703B">
      <w:pPr>
        <w:numPr>
          <w:ilvl w:val="2"/>
          <w:numId w:val="17"/>
        </w:numPr>
        <w:spacing w:after="0"/>
        <w:rPr>
          <w:i/>
        </w:rPr>
      </w:pPr>
      <w:r w:rsidRPr="00C1703B">
        <w:rPr>
          <w:i/>
        </w:rPr>
        <w:t>Wake-up signal with no DTX</w:t>
      </w:r>
    </w:p>
    <w:p w14:paraId="43E55CC1" w14:textId="77777777" w:rsidR="00C1703B" w:rsidRPr="00C1703B" w:rsidRDefault="00C1703B" w:rsidP="00C1703B">
      <w:pPr>
        <w:numPr>
          <w:ilvl w:val="1"/>
          <w:numId w:val="17"/>
        </w:numPr>
        <w:spacing w:after="0"/>
        <w:rPr>
          <w:i/>
        </w:rPr>
      </w:pPr>
      <w:r w:rsidRPr="00C1703B">
        <w:rPr>
          <w:i/>
        </w:rPr>
        <w:t>FFS:</w:t>
      </w:r>
    </w:p>
    <w:p w14:paraId="5124328D" w14:textId="77777777" w:rsidR="00C1703B" w:rsidRPr="00C1703B" w:rsidRDefault="00C1703B" w:rsidP="00C1703B">
      <w:pPr>
        <w:numPr>
          <w:ilvl w:val="2"/>
          <w:numId w:val="17"/>
        </w:numPr>
        <w:spacing w:after="0"/>
        <w:rPr>
          <w:i/>
        </w:rPr>
      </w:pPr>
      <w:r w:rsidRPr="00C1703B">
        <w:rPr>
          <w:i/>
        </w:rPr>
        <w:t>Information conveyed by the physical signal</w:t>
      </w:r>
    </w:p>
    <w:p w14:paraId="74B43BE9" w14:textId="77777777" w:rsidR="00C1703B" w:rsidRPr="00C1703B" w:rsidRDefault="00C1703B" w:rsidP="00C1703B">
      <w:pPr>
        <w:numPr>
          <w:ilvl w:val="2"/>
          <w:numId w:val="17"/>
        </w:numPr>
        <w:spacing w:after="0"/>
        <w:rPr>
          <w:i/>
        </w:rPr>
      </w:pPr>
      <w:r w:rsidRPr="00C1703B">
        <w:rPr>
          <w:i/>
        </w:rPr>
        <w:t>Design of the physical signal</w:t>
      </w:r>
    </w:p>
    <w:p w14:paraId="416B610A" w14:textId="77777777" w:rsidR="00C1703B" w:rsidRPr="00C1703B" w:rsidRDefault="00C1703B" w:rsidP="00C1703B">
      <w:pPr>
        <w:numPr>
          <w:ilvl w:val="2"/>
          <w:numId w:val="17"/>
        </w:numPr>
        <w:spacing w:after="0"/>
        <w:rPr>
          <w:i/>
        </w:rPr>
      </w:pPr>
      <w:r w:rsidRPr="00C1703B">
        <w:rPr>
          <w:i/>
        </w:rPr>
        <w:t>Resources which can be used for the physical signal, considering scheduling flexibility, overhead, etc.</w:t>
      </w:r>
    </w:p>
    <w:p w14:paraId="5B823034" w14:textId="2488701C" w:rsidR="00C1703B" w:rsidRDefault="00C1703B" w:rsidP="002E4A59">
      <w:pPr>
        <w:jc w:val="both"/>
        <w:rPr>
          <w:rFonts w:cs="Arial"/>
        </w:rPr>
      </w:pPr>
      <w:r>
        <w:rPr>
          <w:rFonts w:cs="Arial"/>
        </w:rPr>
        <w:t>”</w:t>
      </w:r>
    </w:p>
    <w:p w14:paraId="394E39F8" w14:textId="680D8F21" w:rsidR="00E835D2" w:rsidRDefault="0073097D" w:rsidP="00A929E6">
      <w:pPr>
        <w:rPr>
          <w:rFonts w:cs="Arial"/>
        </w:rPr>
      </w:pPr>
      <w:r>
        <w:rPr>
          <w:rFonts w:cs="Arial"/>
        </w:rPr>
        <w:t xml:space="preserve">In this contribution, </w:t>
      </w:r>
      <w:bookmarkEnd w:id="2"/>
      <w:r w:rsidR="00C1703B">
        <w:rPr>
          <w:rFonts w:cs="Arial"/>
        </w:rPr>
        <w:t xml:space="preserve">we further discuss the </w:t>
      </w:r>
      <w:r w:rsidR="00DD69F6">
        <w:rPr>
          <w:rFonts w:cs="Arial"/>
        </w:rPr>
        <w:t>design of the wake-up signal (WUS)</w:t>
      </w:r>
      <w:r w:rsidR="00C1703B">
        <w:rPr>
          <w:rFonts w:cs="Arial"/>
        </w:rPr>
        <w:t xml:space="preserve">. </w:t>
      </w:r>
    </w:p>
    <w:p w14:paraId="6627C0BB" w14:textId="0B39AEE9" w:rsidR="001E2FAB" w:rsidRDefault="00F862E5" w:rsidP="00A02DFD">
      <w:pPr>
        <w:pStyle w:val="Heading1"/>
      </w:pPr>
      <w:r>
        <w:t>Power saving signal for paging</w:t>
      </w:r>
    </w:p>
    <w:p w14:paraId="709A2495" w14:textId="307EFA8F" w:rsidR="001E2FAB" w:rsidRDefault="00F862E5" w:rsidP="001E2FAB">
      <w:pPr>
        <w:pStyle w:val="Heading2"/>
      </w:pPr>
      <w:bookmarkStart w:id="3" w:name="_Ref494287353"/>
      <w:r>
        <w:t>Design criteria</w:t>
      </w:r>
      <w:bookmarkEnd w:id="3"/>
      <w:r>
        <w:t xml:space="preserve"> </w:t>
      </w:r>
    </w:p>
    <w:p w14:paraId="419CEFCD" w14:textId="08BF0DF4" w:rsidR="00F862E5" w:rsidRDefault="00B17147" w:rsidP="006C36B3">
      <w:pPr>
        <w:jc w:val="both"/>
      </w:pPr>
      <w:r>
        <w:t xml:space="preserve">In our companion paper </w:t>
      </w:r>
      <w:r>
        <w:fldChar w:fldCharType="begin"/>
      </w:r>
      <w:r>
        <w:instrText xml:space="preserve"> REF _Ref494518173 \r \h </w:instrText>
      </w:r>
      <w:r>
        <w:fldChar w:fldCharType="separate"/>
      </w:r>
      <w:r w:rsidR="00BC5820">
        <w:t>[2]</w:t>
      </w:r>
      <w:r>
        <w:fldChar w:fldCharType="end"/>
      </w:r>
      <w:r>
        <w:t xml:space="preserve">, </w:t>
      </w:r>
      <w:r w:rsidR="00F862E5">
        <w:t xml:space="preserve">we pointed out that the WUS neither can be used for measurement or providing synchronization functions. Therefore, the function of the WUS should be to indicate whether there is paging DCI in a PO. Hence, the procedure of the UE for using WUS should be as illustrated in </w:t>
      </w:r>
      <w:r w:rsidR="00BA7627">
        <w:fldChar w:fldCharType="begin"/>
      </w:r>
      <w:r w:rsidR="00BA7627">
        <w:instrText xml:space="preserve"> REF _Ref494274220 \h  \* MERGEFORMAT </w:instrText>
      </w:r>
      <w:r w:rsidR="00BA7627">
        <w:fldChar w:fldCharType="separate"/>
      </w:r>
      <w:r w:rsidR="00BC5820" w:rsidRPr="00BC5820">
        <w:t>Figure 1</w:t>
      </w:r>
      <w:r w:rsidR="00BA7627">
        <w:fldChar w:fldCharType="end"/>
      </w:r>
      <w:r w:rsidR="00BA7627">
        <w:t xml:space="preserve">. </w:t>
      </w:r>
    </w:p>
    <w:p w14:paraId="7744DC84" w14:textId="37641F17" w:rsidR="00F862E5" w:rsidRDefault="002D41C0" w:rsidP="0031514F">
      <w:pPr>
        <w:jc w:val="center"/>
      </w:pPr>
      <w:r>
        <w:object w:dxaOrig="10995" w:dyaOrig="6015" w14:anchorId="27439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8.25pt" o:ole="">
            <v:imagedata r:id="rId8" o:title="" cropleft="6145f"/>
          </v:shape>
          <o:OLEObject Type="Embed" ProgID="Visio.Drawing.15" ShapeID="_x0000_i1025" DrawAspect="Content" ObjectID="_1568260151" r:id="rId9"/>
        </w:object>
      </w:r>
    </w:p>
    <w:p w14:paraId="66C3F294" w14:textId="7D26BF02" w:rsidR="00BA7627" w:rsidRPr="00BA7627" w:rsidRDefault="00BA7627" w:rsidP="00BA7627">
      <w:pPr>
        <w:pStyle w:val="ListParagraph"/>
        <w:numPr>
          <w:ilvl w:val="0"/>
          <w:numId w:val="20"/>
        </w:numPr>
        <w:jc w:val="center"/>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UE in </w:t>
      </w:r>
      <w:r w:rsidRPr="00BA7627">
        <w:rPr>
          <w:rFonts w:ascii="Times New Roman" w:eastAsia="MS Mincho" w:hAnsi="Times New Roman"/>
          <w:sz w:val="22"/>
          <w:szCs w:val="24"/>
          <w:lang w:val="en-US" w:eastAsia="ja-JP"/>
        </w:rPr>
        <w:t>DRX</w:t>
      </w:r>
    </w:p>
    <w:p w14:paraId="67A4FFD4" w14:textId="322EDED6" w:rsidR="00F862E5" w:rsidRDefault="002D41C0" w:rsidP="00BA7627">
      <w:pPr>
        <w:pStyle w:val="Caption"/>
      </w:pPr>
      <w:r>
        <w:object w:dxaOrig="17040" w:dyaOrig="6015" w14:anchorId="6DE695E7">
          <v:shape id="_x0000_i1026" type="#_x0000_t75" style="width:468.75pt;height:158.25pt" o:ole="">
            <v:imagedata r:id="rId10" o:title="" cropleft="4689f"/>
          </v:shape>
          <o:OLEObject Type="Embed" ProgID="Visio.Drawing.15" ShapeID="_x0000_i1026" DrawAspect="Content" ObjectID="_1568260152" r:id="rId11"/>
        </w:object>
      </w:r>
    </w:p>
    <w:p w14:paraId="70D03380" w14:textId="77777777" w:rsidR="00BA7627" w:rsidRPr="00BA7627" w:rsidRDefault="00BA7627" w:rsidP="00BA7627">
      <w:pPr>
        <w:pStyle w:val="ListParagraph"/>
        <w:rPr>
          <w:rFonts w:ascii="Times New Roman" w:eastAsia="MS Mincho" w:hAnsi="Times New Roman"/>
          <w:sz w:val="22"/>
          <w:szCs w:val="24"/>
          <w:lang w:val="en-US" w:eastAsia="ja-JP"/>
        </w:rPr>
      </w:pPr>
    </w:p>
    <w:p w14:paraId="1843CAF9" w14:textId="6E099356" w:rsidR="00BA7627" w:rsidRPr="00BA7627" w:rsidRDefault="00BA7627" w:rsidP="00BA7627">
      <w:pPr>
        <w:pStyle w:val="ListParagraph"/>
        <w:numPr>
          <w:ilvl w:val="0"/>
          <w:numId w:val="20"/>
        </w:numPr>
        <w:jc w:val="center"/>
        <w:rPr>
          <w:rFonts w:ascii="Times New Roman" w:eastAsia="MS Mincho" w:hAnsi="Times New Roman"/>
          <w:sz w:val="22"/>
          <w:szCs w:val="24"/>
          <w:lang w:val="en-US" w:eastAsia="ja-JP"/>
        </w:rPr>
      </w:pPr>
      <w:r>
        <w:rPr>
          <w:rFonts w:ascii="Times New Roman" w:eastAsia="MS Mincho" w:hAnsi="Times New Roman"/>
          <w:sz w:val="22"/>
          <w:szCs w:val="24"/>
          <w:lang w:val="en-US" w:eastAsia="ja-JP"/>
        </w:rPr>
        <w:t>UE in eDRX</w:t>
      </w:r>
    </w:p>
    <w:p w14:paraId="34E466E7" w14:textId="731934DD" w:rsidR="00F862E5" w:rsidRPr="00BA7627" w:rsidRDefault="00BA7627" w:rsidP="00BA7627">
      <w:pPr>
        <w:jc w:val="center"/>
        <w:rPr>
          <w:b/>
        </w:rPr>
      </w:pPr>
      <w:bookmarkStart w:id="4" w:name="_Ref494274220"/>
      <w:r w:rsidRPr="00BA7627">
        <w:rPr>
          <w:b/>
        </w:rPr>
        <w:t xml:space="preserve">Figure </w:t>
      </w:r>
      <w:r w:rsidRPr="00BA7627">
        <w:rPr>
          <w:b/>
        </w:rPr>
        <w:fldChar w:fldCharType="begin"/>
      </w:r>
      <w:r w:rsidRPr="00BA7627">
        <w:rPr>
          <w:b/>
        </w:rPr>
        <w:instrText xml:space="preserve"> SEQ Figure \* ARABIC </w:instrText>
      </w:r>
      <w:r w:rsidRPr="00BA7627">
        <w:rPr>
          <w:b/>
        </w:rPr>
        <w:fldChar w:fldCharType="separate"/>
      </w:r>
      <w:r w:rsidR="00BC5820">
        <w:rPr>
          <w:b/>
          <w:noProof/>
        </w:rPr>
        <w:t>1</w:t>
      </w:r>
      <w:r w:rsidRPr="00BA7627">
        <w:rPr>
          <w:b/>
        </w:rPr>
        <w:fldChar w:fldCharType="end"/>
      </w:r>
      <w:bookmarkEnd w:id="4"/>
      <w:r w:rsidRPr="00BA7627">
        <w:rPr>
          <w:b/>
        </w:rPr>
        <w:t xml:space="preserve"> Illustration of the WUS procedures</w:t>
      </w:r>
    </w:p>
    <w:p w14:paraId="1DAF96F5" w14:textId="77777777" w:rsidR="00F862E5" w:rsidRDefault="00F862E5" w:rsidP="006C36B3">
      <w:pPr>
        <w:jc w:val="both"/>
      </w:pPr>
    </w:p>
    <w:p w14:paraId="25ED708F" w14:textId="77777777" w:rsidR="00BA7627" w:rsidRDefault="00BA7627" w:rsidP="006C36B3">
      <w:pPr>
        <w:jc w:val="both"/>
      </w:pPr>
      <w:r>
        <w:t xml:space="preserve">As we can see from the illustration, the UE should be in sync when processing the WUS. Hence, there is no need for the WUS to support synchronization function. </w:t>
      </w:r>
    </w:p>
    <w:p w14:paraId="3E118E4E" w14:textId="6F2301B4" w:rsidR="00BA7627" w:rsidRDefault="00BA7627" w:rsidP="006C36B3">
      <w:pPr>
        <w:jc w:val="both"/>
      </w:pPr>
      <w:r>
        <w:t xml:space="preserve">Moreover, as there is only one type-1 CSS configured per cell, the WUS should be either be dimensioned for worst UE in the PO or the worst UE in the cell. Therefore, the length of the WUS should not be too long. The coverage of the current NPDCCH is given in </w:t>
      </w:r>
      <w:r w:rsidR="00CB014E">
        <w:fldChar w:fldCharType="begin"/>
      </w:r>
      <w:r w:rsidR="00CB014E">
        <w:instrText xml:space="preserve"> REF _Ref494275220 \h </w:instrText>
      </w:r>
      <w:r w:rsidR="00CB014E">
        <w:fldChar w:fldCharType="separate"/>
      </w:r>
      <w:r w:rsidR="00BC5820">
        <w:t xml:space="preserve">Table </w:t>
      </w:r>
      <w:r w:rsidR="00BC5820">
        <w:rPr>
          <w:noProof/>
        </w:rPr>
        <w:t>1</w:t>
      </w:r>
      <w:r w:rsidR="00CB014E">
        <w:fldChar w:fldCharType="end"/>
      </w:r>
      <w:r w:rsidR="00CB014E">
        <w:t xml:space="preserve">. </w:t>
      </w:r>
    </w:p>
    <w:p w14:paraId="1DF0F90E" w14:textId="77777777" w:rsidR="00CB014E" w:rsidRDefault="00CB014E" w:rsidP="006C36B3">
      <w:pPr>
        <w:jc w:val="both"/>
      </w:pPr>
    </w:p>
    <w:p w14:paraId="74BEA7AF" w14:textId="3CBEC2BD" w:rsidR="00CB014E" w:rsidRDefault="00CB014E" w:rsidP="00CB014E">
      <w:pPr>
        <w:pStyle w:val="Caption"/>
        <w:keepNext/>
        <w:jc w:val="center"/>
      </w:pPr>
      <w:bookmarkStart w:id="5" w:name="_Ref494275220"/>
      <w:r>
        <w:t xml:space="preserve">Table </w:t>
      </w:r>
      <w:fldSimple w:instr=" SEQ Table \* ARABIC ">
        <w:r w:rsidR="00BC5820">
          <w:rPr>
            <w:noProof/>
          </w:rPr>
          <w:t>1</w:t>
        </w:r>
      </w:fldSimple>
      <w:bookmarkEnd w:id="5"/>
      <w:r>
        <w:t xml:space="preserve"> Performance of NPDCCH</w:t>
      </w:r>
    </w:p>
    <w:tbl>
      <w:tblPr>
        <w:tblStyle w:val="TableGrid"/>
        <w:tblW w:w="0" w:type="auto"/>
        <w:jc w:val="center"/>
        <w:tblBorders>
          <w:top w:val="none" w:sz="0" w:space="0" w:color="auto"/>
          <w:left w:val="none" w:sz="0" w:space="0" w:color="auto"/>
        </w:tblBorders>
        <w:tblLook w:val="04A0" w:firstRow="1" w:lastRow="0" w:firstColumn="1" w:lastColumn="0" w:noHBand="0" w:noVBand="1"/>
      </w:tblPr>
      <w:tblGrid>
        <w:gridCol w:w="2147"/>
        <w:gridCol w:w="720"/>
        <w:gridCol w:w="720"/>
        <w:gridCol w:w="720"/>
        <w:gridCol w:w="720"/>
        <w:gridCol w:w="720"/>
        <w:gridCol w:w="720"/>
        <w:gridCol w:w="720"/>
      </w:tblGrid>
      <w:tr w:rsidR="00CB014E" w14:paraId="4DF5CA2A" w14:textId="77777777" w:rsidTr="00CB014E">
        <w:trPr>
          <w:jc w:val="center"/>
        </w:trPr>
        <w:tc>
          <w:tcPr>
            <w:tcW w:w="2147" w:type="dxa"/>
            <w:tcBorders>
              <w:bottom w:val="single" w:sz="4" w:space="0" w:color="auto"/>
            </w:tcBorders>
          </w:tcPr>
          <w:p w14:paraId="3E7D8B72" w14:textId="77777777" w:rsidR="00CB014E" w:rsidRPr="00CB014E" w:rsidRDefault="00CB014E" w:rsidP="00CB014E">
            <w:pPr>
              <w:jc w:val="center"/>
            </w:pPr>
          </w:p>
        </w:tc>
        <w:tc>
          <w:tcPr>
            <w:tcW w:w="2160" w:type="dxa"/>
            <w:gridSpan w:val="3"/>
            <w:tcBorders>
              <w:top w:val="single" w:sz="4" w:space="0" w:color="auto"/>
            </w:tcBorders>
          </w:tcPr>
          <w:p w14:paraId="5FBCD222" w14:textId="3CDE7D66" w:rsidR="00CB014E" w:rsidRDefault="00CB014E" w:rsidP="00CB014E">
            <w:pPr>
              <w:jc w:val="center"/>
            </w:pPr>
            <w:r w:rsidRPr="00CB014E">
              <w:t>Stand-alone</w:t>
            </w:r>
          </w:p>
        </w:tc>
        <w:tc>
          <w:tcPr>
            <w:tcW w:w="2880" w:type="dxa"/>
            <w:gridSpan w:val="4"/>
            <w:tcBorders>
              <w:top w:val="single" w:sz="4" w:space="0" w:color="auto"/>
            </w:tcBorders>
          </w:tcPr>
          <w:p w14:paraId="2CB9D02C" w14:textId="324E9EA7" w:rsidR="00CB014E" w:rsidRDefault="00CB014E" w:rsidP="00CB014E">
            <w:pPr>
              <w:jc w:val="center"/>
            </w:pPr>
            <w:r w:rsidRPr="00CB014E">
              <w:t>In-band</w:t>
            </w:r>
          </w:p>
        </w:tc>
      </w:tr>
      <w:tr w:rsidR="00CB014E" w14:paraId="112A0104" w14:textId="77777777" w:rsidTr="00CB014E">
        <w:trPr>
          <w:jc w:val="center"/>
        </w:trPr>
        <w:tc>
          <w:tcPr>
            <w:tcW w:w="2147" w:type="dxa"/>
            <w:tcBorders>
              <w:top w:val="single" w:sz="4" w:space="0" w:color="auto"/>
              <w:left w:val="single" w:sz="4" w:space="0" w:color="auto"/>
            </w:tcBorders>
          </w:tcPr>
          <w:p w14:paraId="59E3F954" w14:textId="0D0F1F37" w:rsidR="00CB014E" w:rsidRDefault="00CB014E" w:rsidP="00CB014E">
            <w:pPr>
              <w:jc w:val="center"/>
            </w:pPr>
            <w:r>
              <w:t>Number of Reps</w:t>
            </w:r>
          </w:p>
        </w:tc>
        <w:tc>
          <w:tcPr>
            <w:tcW w:w="720" w:type="dxa"/>
          </w:tcPr>
          <w:p w14:paraId="695984FF" w14:textId="715B62A3" w:rsidR="00CB014E" w:rsidRDefault="00CB014E" w:rsidP="00CB014E">
            <w:pPr>
              <w:jc w:val="center"/>
            </w:pPr>
            <w:r>
              <w:t>1</w:t>
            </w:r>
          </w:p>
        </w:tc>
        <w:tc>
          <w:tcPr>
            <w:tcW w:w="720" w:type="dxa"/>
          </w:tcPr>
          <w:p w14:paraId="2A501F60" w14:textId="63535CAD" w:rsidR="00CB014E" w:rsidRDefault="00CB014E" w:rsidP="00CB014E">
            <w:pPr>
              <w:jc w:val="center"/>
            </w:pPr>
            <w:r>
              <w:t>8</w:t>
            </w:r>
          </w:p>
        </w:tc>
        <w:tc>
          <w:tcPr>
            <w:tcW w:w="720" w:type="dxa"/>
          </w:tcPr>
          <w:p w14:paraId="5ED07F90" w14:textId="50C0EA16" w:rsidR="00CB014E" w:rsidRDefault="00CB014E" w:rsidP="00CB014E">
            <w:pPr>
              <w:jc w:val="center"/>
            </w:pPr>
            <w:r>
              <w:t>128</w:t>
            </w:r>
          </w:p>
        </w:tc>
        <w:tc>
          <w:tcPr>
            <w:tcW w:w="720" w:type="dxa"/>
          </w:tcPr>
          <w:p w14:paraId="7FBAA168" w14:textId="732E5717" w:rsidR="00CB014E" w:rsidRDefault="00CB014E" w:rsidP="00CB014E">
            <w:pPr>
              <w:jc w:val="center"/>
            </w:pPr>
            <w:r>
              <w:t>1</w:t>
            </w:r>
          </w:p>
        </w:tc>
        <w:tc>
          <w:tcPr>
            <w:tcW w:w="720" w:type="dxa"/>
          </w:tcPr>
          <w:p w14:paraId="35CF1AC7" w14:textId="53DBA447" w:rsidR="00CB014E" w:rsidRDefault="00CB014E" w:rsidP="00CB014E">
            <w:pPr>
              <w:jc w:val="center"/>
            </w:pPr>
            <w:r>
              <w:t>4</w:t>
            </w:r>
          </w:p>
        </w:tc>
        <w:tc>
          <w:tcPr>
            <w:tcW w:w="720" w:type="dxa"/>
          </w:tcPr>
          <w:p w14:paraId="654311D8" w14:textId="5E0A36E6" w:rsidR="00CB014E" w:rsidRDefault="00CB014E" w:rsidP="00CB014E">
            <w:pPr>
              <w:jc w:val="center"/>
            </w:pPr>
            <w:r>
              <w:t>32</w:t>
            </w:r>
          </w:p>
        </w:tc>
        <w:tc>
          <w:tcPr>
            <w:tcW w:w="720" w:type="dxa"/>
          </w:tcPr>
          <w:p w14:paraId="5910653B" w14:textId="26547CDC" w:rsidR="00CB014E" w:rsidRDefault="00CB014E" w:rsidP="00CB014E">
            <w:pPr>
              <w:jc w:val="center"/>
            </w:pPr>
            <w:r>
              <w:t>256</w:t>
            </w:r>
          </w:p>
        </w:tc>
      </w:tr>
      <w:tr w:rsidR="00CB014E" w14:paraId="1E1CB353" w14:textId="77777777" w:rsidTr="00CB014E">
        <w:trPr>
          <w:jc w:val="center"/>
        </w:trPr>
        <w:tc>
          <w:tcPr>
            <w:tcW w:w="2147" w:type="dxa"/>
            <w:tcBorders>
              <w:top w:val="single" w:sz="4" w:space="0" w:color="auto"/>
              <w:left w:val="single" w:sz="4" w:space="0" w:color="auto"/>
            </w:tcBorders>
          </w:tcPr>
          <w:p w14:paraId="677A7B4F" w14:textId="45F1C342" w:rsidR="00CB014E" w:rsidRDefault="00CB014E" w:rsidP="00CB014E">
            <w:pPr>
              <w:jc w:val="center"/>
            </w:pPr>
            <w:r>
              <w:t>Supported Coupling Loss (dB)</w:t>
            </w:r>
          </w:p>
        </w:tc>
        <w:tc>
          <w:tcPr>
            <w:tcW w:w="720" w:type="dxa"/>
          </w:tcPr>
          <w:p w14:paraId="13759DF2" w14:textId="287080DF" w:rsidR="00CB014E" w:rsidRDefault="00CB014E" w:rsidP="00CB014E">
            <w:pPr>
              <w:jc w:val="center"/>
            </w:pPr>
            <w:r>
              <w:t xml:space="preserve">147.6 </w:t>
            </w:r>
          </w:p>
        </w:tc>
        <w:tc>
          <w:tcPr>
            <w:tcW w:w="720" w:type="dxa"/>
          </w:tcPr>
          <w:p w14:paraId="2238F5D4" w14:textId="4B813A10" w:rsidR="00CB014E" w:rsidRDefault="00CB014E" w:rsidP="00CB014E">
            <w:pPr>
              <w:jc w:val="center"/>
            </w:pPr>
            <w:r>
              <w:t>154.7</w:t>
            </w:r>
          </w:p>
        </w:tc>
        <w:tc>
          <w:tcPr>
            <w:tcW w:w="720" w:type="dxa"/>
          </w:tcPr>
          <w:p w14:paraId="7E3B803B" w14:textId="5235B0E0" w:rsidR="00CB014E" w:rsidRDefault="00CB014E" w:rsidP="00CB014E">
            <w:pPr>
              <w:jc w:val="center"/>
            </w:pPr>
            <w:r>
              <w:t>165.2</w:t>
            </w:r>
          </w:p>
        </w:tc>
        <w:tc>
          <w:tcPr>
            <w:tcW w:w="720" w:type="dxa"/>
          </w:tcPr>
          <w:p w14:paraId="4BB35CCE" w14:textId="7699E33D" w:rsidR="00CB014E" w:rsidRDefault="00CB014E" w:rsidP="00CB014E">
            <w:pPr>
              <w:jc w:val="center"/>
            </w:pPr>
            <w:r>
              <w:t>139.5</w:t>
            </w:r>
          </w:p>
        </w:tc>
        <w:tc>
          <w:tcPr>
            <w:tcW w:w="720" w:type="dxa"/>
          </w:tcPr>
          <w:p w14:paraId="3AFC30F7" w14:textId="32E05D43" w:rsidR="00CB014E" w:rsidRDefault="00CB014E" w:rsidP="00CB014E">
            <w:pPr>
              <w:jc w:val="center"/>
            </w:pPr>
            <w:r>
              <w:t>145.8</w:t>
            </w:r>
          </w:p>
        </w:tc>
        <w:tc>
          <w:tcPr>
            <w:tcW w:w="720" w:type="dxa"/>
          </w:tcPr>
          <w:p w14:paraId="77EF3D4F" w14:textId="23AFFEB9" w:rsidR="00CB014E" w:rsidRDefault="00CB014E" w:rsidP="00CB014E">
            <w:pPr>
              <w:jc w:val="center"/>
            </w:pPr>
            <w:r>
              <w:t>155.3</w:t>
            </w:r>
          </w:p>
        </w:tc>
        <w:tc>
          <w:tcPr>
            <w:tcW w:w="720" w:type="dxa"/>
          </w:tcPr>
          <w:p w14:paraId="300FE7C7" w14:textId="22FCFA7E" w:rsidR="00CB014E" w:rsidRDefault="00CB014E" w:rsidP="00CB014E">
            <w:pPr>
              <w:jc w:val="center"/>
            </w:pPr>
            <w:r>
              <w:t>164.6</w:t>
            </w:r>
          </w:p>
        </w:tc>
      </w:tr>
    </w:tbl>
    <w:p w14:paraId="6A4902CB" w14:textId="77777777" w:rsidR="00BA7627" w:rsidRDefault="00BA7627" w:rsidP="00CB014E">
      <w:pPr>
        <w:jc w:val="center"/>
      </w:pPr>
    </w:p>
    <w:p w14:paraId="62DC75A3" w14:textId="27F95F89" w:rsidR="00BA7627" w:rsidRDefault="00CB014E" w:rsidP="006C36B3">
      <w:pPr>
        <w:jc w:val="both"/>
      </w:pPr>
      <w:r>
        <w:t xml:space="preserve">From the results given in </w:t>
      </w:r>
      <w:r>
        <w:fldChar w:fldCharType="begin"/>
      </w:r>
      <w:r>
        <w:instrText xml:space="preserve"> REF _Ref494275220 \h </w:instrText>
      </w:r>
      <w:r>
        <w:fldChar w:fldCharType="separate"/>
      </w:r>
      <w:r w:rsidR="00BC5820">
        <w:t xml:space="preserve">Table </w:t>
      </w:r>
      <w:r w:rsidR="00BC5820">
        <w:rPr>
          <w:noProof/>
        </w:rPr>
        <w:t>1</w:t>
      </w:r>
      <w:r>
        <w:fldChar w:fldCharType="end"/>
      </w:r>
      <w:r>
        <w:t xml:space="preserve"> and the traffic model in [TR 45.820], we can observe that the by using 1 repetition, the NPDCCH can cover </w:t>
      </w:r>
      <w:r w:rsidR="00763E73">
        <w:t xml:space="preserve">around 90% of the UEs in a cell for the standalone case, and around 80% of the UEs for the inband case.  From the RAN1 discussions, it was clear that by UE implementation, a UE does not need to always monitor up to the Rmax. This is because the UE can do early termination based on the measured RSRP and the decoding performance of other channels. Therefore, if the WUS length is long, it would increase the UE monitoring efforts. </w:t>
      </w:r>
    </w:p>
    <w:p w14:paraId="0626597B" w14:textId="6B260B17" w:rsidR="00763E73" w:rsidRDefault="00763E73" w:rsidP="00763E73">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r>
        <w:rPr>
          <w:rFonts w:ascii="Times New Roman" w:hAnsi="Times New Roman"/>
          <w:b/>
          <w:i/>
        </w:rPr>
        <w:lastRenderedPageBreak/>
        <w:t xml:space="preserve">A long WUS increase the UE monitoring efforts and cannot achieved the expected power saving for the WUS. </w:t>
      </w:r>
    </w:p>
    <w:p w14:paraId="3DF77645" w14:textId="6DBD6A72" w:rsidR="006874AB" w:rsidRDefault="006874AB" w:rsidP="006874AB">
      <w:pPr>
        <w:pStyle w:val="Heading2"/>
      </w:pPr>
      <w:bookmarkStart w:id="6" w:name="_Ref494280664"/>
      <w:r>
        <w:t>Wake-up Signal Design</w:t>
      </w:r>
      <w:bookmarkEnd w:id="6"/>
    </w:p>
    <w:p w14:paraId="14F78427" w14:textId="5633AFC5" w:rsidR="00660223" w:rsidRDefault="006874AB" w:rsidP="003D492C">
      <w:pPr>
        <w:jc w:val="both"/>
      </w:pPr>
      <w:r>
        <w:t xml:space="preserve">Based on the </w:t>
      </w:r>
      <w:r w:rsidR="00886A07">
        <w:t>design criteria discussed in Section</w:t>
      </w:r>
      <w:r w:rsidR="002140FF">
        <w:t xml:space="preserve"> </w:t>
      </w:r>
      <w:r w:rsidR="002140FF">
        <w:fldChar w:fldCharType="begin"/>
      </w:r>
      <w:r w:rsidR="002140FF">
        <w:instrText xml:space="preserve"> REF _Ref494287353 \r \h </w:instrText>
      </w:r>
      <w:r w:rsidR="002140FF">
        <w:fldChar w:fldCharType="separate"/>
      </w:r>
      <w:r w:rsidR="00BC5820">
        <w:t>2.1</w:t>
      </w:r>
      <w:r w:rsidR="002140FF">
        <w:fldChar w:fldCharType="end"/>
      </w:r>
      <w:r w:rsidR="003D492C">
        <w:t>, we would like to have a WUS that should be as short as pos</w:t>
      </w:r>
      <w:r w:rsidR="00555F9D">
        <w:t xml:space="preserve">sible. Follow the discussion in </w:t>
      </w:r>
      <w:r w:rsidR="00555F9D">
        <w:fldChar w:fldCharType="begin"/>
      </w:r>
      <w:r w:rsidR="00555F9D">
        <w:instrText xml:space="preserve"> REF _Ref494517818 \r \h </w:instrText>
      </w:r>
      <w:r w:rsidR="00555F9D">
        <w:fldChar w:fldCharType="separate"/>
      </w:r>
      <w:r w:rsidR="00BC5820">
        <w:t>[3]</w:t>
      </w:r>
      <w:r w:rsidR="00555F9D">
        <w:fldChar w:fldCharType="end"/>
      </w:r>
      <w:r w:rsidR="00555F9D">
        <w:t xml:space="preserve">, </w:t>
      </w:r>
      <w:r w:rsidR="00660223">
        <w:t>if the WUS needs to support synchronization function, it needs to be significantly longer</w:t>
      </w:r>
      <w:r w:rsidR="00555F9D">
        <w:t xml:space="preserve"> (around 20 times longer)</w:t>
      </w:r>
      <w:r w:rsidR="00660223">
        <w:t xml:space="preserve">. </w:t>
      </w:r>
      <w:r w:rsidR="00555F9D">
        <w:t xml:space="preserve"> </w:t>
      </w:r>
    </w:p>
    <w:p w14:paraId="218DFAC1" w14:textId="605E5556" w:rsidR="003D492C" w:rsidRPr="003D492C" w:rsidRDefault="00555F9D" w:rsidP="003D492C">
      <w:pPr>
        <w:jc w:val="both"/>
        <w:rPr>
          <w:rFonts w:eastAsia="SimSun"/>
          <w:kern w:val="2"/>
          <w:szCs w:val="22"/>
          <w:lang w:val="en-GB" w:eastAsia="zh-CN"/>
        </w:rPr>
      </w:pPr>
      <w:r>
        <w:t>I</w:t>
      </w:r>
      <w:r w:rsidR="003D492C">
        <w:t xml:space="preserve">f the WUS does not support </w:t>
      </w:r>
      <w:r w:rsidR="003D492C" w:rsidRPr="003D492C">
        <w:t>synchronization</w:t>
      </w:r>
      <w:r w:rsidR="003D492C">
        <w:t xml:space="preserve">, the ZC sequence based design can be considered as a baseline. </w:t>
      </w:r>
      <w:r w:rsidR="003D492C" w:rsidRPr="003D492C">
        <w:rPr>
          <w:rFonts w:eastAsia="SimSun"/>
          <w:kern w:val="2"/>
          <w:szCs w:val="22"/>
          <w:lang w:val="en-GB" w:eastAsia="zh-CN"/>
        </w:rPr>
        <w:t>T</w:t>
      </w:r>
      <w:r w:rsidR="003D492C" w:rsidRPr="003D492C">
        <w:rPr>
          <w:rFonts w:eastAsia="SimSun" w:hint="eastAsia"/>
          <w:kern w:val="2"/>
          <w:szCs w:val="22"/>
          <w:lang w:val="en-GB" w:eastAsia="zh-CN"/>
        </w:rPr>
        <w:t xml:space="preserve">he </w:t>
      </w:r>
      <w:r w:rsidR="003D492C">
        <w:rPr>
          <w:rFonts w:eastAsia="SimSun"/>
          <w:kern w:val="2"/>
          <w:szCs w:val="22"/>
          <w:lang w:val="en-GB" w:eastAsia="zh-CN"/>
        </w:rPr>
        <w:t>ZC sequence is defined as</w:t>
      </w:r>
    </w:p>
    <w:bookmarkStart w:id="7" w:name="OLE_LINK7"/>
    <w:p w14:paraId="5ED97170" w14:textId="77777777" w:rsidR="003D492C" w:rsidRPr="003D492C" w:rsidRDefault="003D492C" w:rsidP="003D492C">
      <w:pPr>
        <w:autoSpaceDE w:val="0"/>
        <w:autoSpaceDN w:val="0"/>
        <w:adjustRightInd w:val="0"/>
        <w:snapToGrid w:val="0"/>
        <w:jc w:val="center"/>
        <w:rPr>
          <w:rFonts w:eastAsia="SimSun"/>
          <w:szCs w:val="22"/>
          <w:lang w:eastAsia="zh-CN"/>
        </w:rPr>
      </w:pPr>
      <w:r w:rsidRPr="003D492C">
        <w:rPr>
          <w:rFonts w:eastAsia="SimSun"/>
          <w:position w:val="-10"/>
          <w:szCs w:val="22"/>
          <w:lang w:eastAsia="en-US"/>
        </w:rPr>
        <w:object w:dxaOrig="3080" w:dyaOrig="360" w14:anchorId="5D4E57DF">
          <v:shape id="_x0000_i1027" type="#_x0000_t75" style="width:153.75pt;height:18pt" o:ole="">
            <v:imagedata r:id="rId12" o:title=""/>
          </v:shape>
          <o:OLEObject Type="Embed" ProgID="Equation.3" ShapeID="_x0000_i1027" DrawAspect="Content" ObjectID="_1568260153" r:id="rId13"/>
        </w:object>
      </w:r>
      <w:bookmarkEnd w:id="7"/>
    </w:p>
    <w:p w14:paraId="66AB7BC0" w14:textId="2DCF3585" w:rsidR="003D492C" w:rsidRDefault="003D492C" w:rsidP="003D492C">
      <w:pPr>
        <w:autoSpaceDE w:val="0"/>
        <w:autoSpaceDN w:val="0"/>
        <w:adjustRightInd w:val="0"/>
        <w:snapToGrid w:val="0"/>
        <w:jc w:val="both"/>
      </w:pPr>
      <w:bookmarkStart w:id="8" w:name="OLE_LINK11"/>
      <w:bookmarkStart w:id="9" w:name="OLE_LINK12"/>
      <w:r>
        <w:rPr>
          <w:rFonts w:eastAsia="SimSun"/>
          <w:kern w:val="2"/>
          <w:szCs w:val="22"/>
          <w:lang w:val="en-GB" w:eastAsia="zh-CN"/>
        </w:rPr>
        <w:t>w</w:t>
      </w:r>
      <w:r w:rsidRPr="003D492C">
        <w:rPr>
          <w:rFonts w:eastAsia="SimSun" w:hint="eastAsia"/>
          <w:kern w:val="2"/>
          <w:szCs w:val="22"/>
          <w:lang w:val="en-GB" w:eastAsia="zh-CN"/>
        </w:rPr>
        <w:t xml:space="preserve">here the </w:t>
      </w:r>
      <w:r w:rsidRPr="003D492C">
        <w:rPr>
          <w:rFonts w:eastAsia="SimSun"/>
          <w:kern w:val="2"/>
          <w:szCs w:val="22"/>
          <w:lang w:val="en-GB" w:eastAsia="zh-CN"/>
        </w:rPr>
        <w:t>‘</w:t>
      </w:r>
      <w:r w:rsidRPr="003D492C">
        <w:rPr>
          <w:rFonts w:eastAsia="SimSun" w:hint="eastAsia"/>
          <w:kern w:val="2"/>
          <w:szCs w:val="22"/>
          <w:lang w:val="en-GB" w:eastAsia="zh-CN"/>
        </w:rPr>
        <w:t>L</w:t>
      </w:r>
      <w:r w:rsidRPr="003D492C">
        <w:rPr>
          <w:rFonts w:eastAsia="SimSun"/>
          <w:kern w:val="2"/>
          <w:szCs w:val="22"/>
          <w:lang w:val="en-GB" w:eastAsia="zh-CN"/>
        </w:rPr>
        <w:t>’</w:t>
      </w:r>
      <w:r>
        <w:rPr>
          <w:rFonts w:eastAsia="SimSun" w:hint="eastAsia"/>
          <w:kern w:val="2"/>
          <w:szCs w:val="22"/>
          <w:lang w:val="en-GB" w:eastAsia="zh-CN"/>
        </w:rPr>
        <w:t xml:space="preserve"> denotes the sequence length</w:t>
      </w:r>
      <w:r>
        <w:rPr>
          <w:rFonts w:eastAsia="SimSun"/>
          <w:kern w:val="2"/>
          <w:szCs w:val="22"/>
          <w:lang w:val="en-GB" w:eastAsia="zh-CN"/>
        </w:rPr>
        <w:t xml:space="preserve">. However, it is expected that the WUS should be sent prior to the PO in a continuous manner, it is not necessary to use a short sequence that map to the </w:t>
      </w:r>
      <w:r w:rsidRPr="003D492C">
        <w:rPr>
          <w:rFonts w:eastAsia="SimSun" w:hint="eastAsia"/>
          <w:kern w:val="2"/>
          <w:szCs w:val="22"/>
          <w:lang w:val="en-GB" w:eastAsia="zh-CN"/>
        </w:rPr>
        <w:t>available R</w:t>
      </w:r>
      <w:r w:rsidRPr="003D492C">
        <w:rPr>
          <w:rFonts w:eastAsia="SimSun"/>
          <w:kern w:val="2"/>
          <w:szCs w:val="22"/>
          <w:lang w:val="en-GB" w:eastAsia="zh-CN"/>
        </w:rPr>
        <w:t>Es</w:t>
      </w:r>
      <w:r w:rsidRPr="003D492C">
        <w:rPr>
          <w:rFonts w:eastAsia="SimSun" w:hint="eastAsia"/>
          <w:kern w:val="2"/>
          <w:szCs w:val="22"/>
          <w:lang w:val="en-GB" w:eastAsia="zh-CN"/>
        </w:rPr>
        <w:t xml:space="preserve"> in </w:t>
      </w:r>
      <w:r>
        <w:rPr>
          <w:rFonts w:eastAsia="SimSun"/>
          <w:kern w:val="2"/>
          <w:szCs w:val="22"/>
          <w:lang w:val="en-GB" w:eastAsia="zh-CN"/>
        </w:rPr>
        <w:t>one</w:t>
      </w:r>
      <w:r w:rsidRPr="003D492C">
        <w:rPr>
          <w:rFonts w:eastAsia="SimSun" w:hint="eastAsia"/>
          <w:kern w:val="2"/>
          <w:szCs w:val="22"/>
          <w:lang w:val="en-GB" w:eastAsia="zh-CN"/>
        </w:rPr>
        <w:t xml:space="preserve"> subframe</w:t>
      </w:r>
      <w:r>
        <w:rPr>
          <w:rFonts w:eastAsia="SimSun"/>
          <w:kern w:val="2"/>
          <w:szCs w:val="22"/>
          <w:lang w:val="en-GB" w:eastAsia="zh-CN"/>
        </w:rPr>
        <w:t>, as discussed in</w:t>
      </w:r>
      <w:r w:rsidR="00555F9D">
        <w:rPr>
          <w:rFonts w:eastAsia="SimSun"/>
          <w:kern w:val="2"/>
          <w:szCs w:val="22"/>
          <w:lang w:val="en-GB" w:eastAsia="zh-CN"/>
        </w:rPr>
        <w:t xml:space="preserve"> </w:t>
      </w:r>
      <w:r w:rsidR="00555F9D">
        <w:rPr>
          <w:rFonts w:eastAsia="SimSun"/>
          <w:kern w:val="2"/>
          <w:szCs w:val="22"/>
          <w:lang w:val="en-GB" w:eastAsia="zh-CN"/>
        </w:rPr>
        <w:fldChar w:fldCharType="begin"/>
      </w:r>
      <w:r w:rsidR="00555F9D">
        <w:rPr>
          <w:rFonts w:eastAsia="SimSun"/>
          <w:kern w:val="2"/>
          <w:szCs w:val="22"/>
          <w:lang w:val="en-GB" w:eastAsia="zh-CN"/>
        </w:rPr>
        <w:instrText xml:space="preserve"> REF _Ref494517818 \r \h </w:instrText>
      </w:r>
      <w:r w:rsidR="00555F9D">
        <w:rPr>
          <w:rFonts w:eastAsia="SimSun"/>
          <w:kern w:val="2"/>
          <w:szCs w:val="22"/>
          <w:lang w:val="en-GB" w:eastAsia="zh-CN"/>
        </w:rPr>
      </w:r>
      <w:r w:rsidR="00555F9D">
        <w:rPr>
          <w:rFonts w:eastAsia="SimSun"/>
          <w:kern w:val="2"/>
          <w:szCs w:val="22"/>
          <w:lang w:val="en-GB" w:eastAsia="zh-CN"/>
        </w:rPr>
        <w:fldChar w:fldCharType="separate"/>
      </w:r>
      <w:r w:rsidR="00BC5820">
        <w:rPr>
          <w:rFonts w:eastAsia="SimSun"/>
          <w:kern w:val="2"/>
          <w:szCs w:val="22"/>
          <w:lang w:val="en-GB" w:eastAsia="zh-CN"/>
        </w:rPr>
        <w:t>[3]</w:t>
      </w:r>
      <w:r w:rsidR="00555F9D">
        <w:rPr>
          <w:rFonts w:eastAsia="SimSun"/>
          <w:kern w:val="2"/>
          <w:szCs w:val="22"/>
          <w:lang w:val="en-GB" w:eastAsia="zh-CN"/>
        </w:rPr>
        <w:fldChar w:fldCharType="end"/>
      </w:r>
      <w:r>
        <w:t>. A longer ZC sequence offers more benefits, e.g., easy to detect, and more roots of the ZC sequence are available for the purpos</w:t>
      </w:r>
      <w:r w:rsidR="002140FF">
        <w:t>e of interference randomization</w:t>
      </w:r>
      <w:r w:rsidR="00760701">
        <w:t xml:space="preserve">. </w:t>
      </w:r>
      <w:r w:rsidR="00555F9D">
        <w:t xml:space="preserve">The reason that a short ZC sequence is used for NSSS is that there are no continues subframes available for NSSS, but this is not the case for the WUS.  </w:t>
      </w:r>
    </w:p>
    <w:p w14:paraId="613FD031" w14:textId="77777777" w:rsidR="00555F9D" w:rsidRDefault="00555F9D" w:rsidP="00555F9D">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10" w:name="_Ref494518010"/>
      <w:r>
        <w:rPr>
          <w:rFonts w:ascii="Times New Roman" w:hAnsi="Times New Roman"/>
          <w:b/>
          <w:i/>
          <w:lang w:val="en-US"/>
        </w:rPr>
        <w:t>Consider using a long ZC sequence as the WUS</w:t>
      </w:r>
      <w:r w:rsidRPr="000F0E70">
        <w:rPr>
          <w:rFonts w:ascii="Times New Roman" w:hAnsi="Times New Roman"/>
          <w:b/>
          <w:i/>
        </w:rPr>
        <w:t>.</w:t>
      </w:r>
      <w:bookmarkEnd w:id="10"/>
    </w:p>
    <w:bookmarkEnd w:id="8"/>
    <w:bookmarkEnd w:id="9"/>
    <w:p w14:paraId="1C6D82A1" w14:textId="3CD546FE" w:rsidR="00D0025C" w:rsidRPr="00E330BC" w:rsidRDefault="008B5CAA" w:rsidP="00040C32">
      <w:pPr>
        <w:pStyle w:val="Heading1"/>
      </w:pPr>
      <w:r>
        <w:t>Conclusions</w:t>
      </w:r>
    </w:p>
    <w:p w14:paraId="0DC4FC53" w14:textId="467BDDBC" w:rsidR="00077B1B" w:rsidRDefault="00555F9D" w:rsidP="00633EFB">
      <w:pPr>
        <w:pStyle w:val="Heading1"/>
        <w:numPr>
          <w:ilvl w:val="0"/>
          <w:numId w:val="0"/>
        </w:numPr>
        <w:jc w:val="both"/>
        <w:rPr>
          <w:rFonts w:ascii="Times New Roman" w:hAnsi="Times New Roman" w:cs="Times New Roman"/>
          <w:bCs w:val="0"/>
          <w:sz w:val="22"/>
          <w:szCs w:val="24"/>
        </w:rPr>
      </w:pPr>
      <w:r>
        <w:rPr>
          <w:rFonts w:ascii="Times New Roman" w:hAnsi="Times New Roman" w:cs="Times New Roman"/>
          <w:bCs w:val="0"/>
          <w:sz w:val="22"/>
          <w:szCs w:val="24"/>
        </w:rPr>
        <w:t xml:space="preserve">In conclusion, we propose that </w:t>
      </w:r>
    </w:p>
    <w:p w14:paraId="18F644CC" w14:textId="4E4A8581" w:rsidR="00555F9D" w:rsidRPr="00555F9D" w:rsidRDefault="00555F9D" w:rsidP="00555F9D">
      <w:pPr>
        <w:rPr>
          <w:b/>
          <w:i/>
          <w:lang w:val="en-GB"/>
        </w:rPr>
      </w:pPr>
      <w:r w:rsidRPr="00555F9D">
        <w:rPr>
          <w:b/>
          <w:i/>
          <w:lang w:val="en-GB"/>
        </w:rPr>
        <w:fldChar w:fldCharType="begin"/>
      </w:r>
      <w:r w:rsidRPr="00555F9D">
        <w:rPr>
          <w:b/>
          <w:i/>
          <w:lang w:val="en-GB"/>
        </w:rPr>
        <w:instrText xml:space="preserve"> REF _Ref494518010 \r \h  \* MERGEFORMAT </w:instrText>
      </w:r>
      <w:r w:rsidRPr="00555F9D">
        <w:rPr>
          <w:b/>
          <w:i/>
          <w:lang w:val="en-GB"/>
        </w:rPr>
      </w:r>
      <w:r w:rsidRPr="00555F9D">
        <w:rPr>
          <w:b/>
          <w:i/>
          <w:lang w:val="en-GB"/>
        </w:rPr>
        <w:fldChar w:fldCharType="separate"/>
      </w:r>
      <w:r w:rsidR="00BC5820">
        <w:rPr>
          <w:b/>
          <w:i/>
          <w:lang w:val="en-GB"/>
        </w:rPr>
        <w:t>Proposal 1:</w:t>
      </w:r>
      <w:r w:rsidRPr="00555F9D">
        <w:rPr>
          <w:b/>
          <w:i/>
          <w:lang w:val="en-GB"/>
        </w:rPr>
        <w:fldChar w:fldCharType="end"/>
      </w:r>
      <w:r w:rsidRPr="00555F9D">
        <w:rPr>
          <w:b/>
          <w:i/>
          <w:lang w:val="en-GB"/>
        </w:rPr>
        <w:t xml:space="preserve"> </w:t>
      </w:r>
      <w:r w:rsidRPr="00555F9D">
        <w:rPr>
          <w:b/>
          <w:i/>
          <w:lang w:val="en-GB"/>
        </w:rPr>
        <w:fldChar w:fldCharType="begin"/>
      </w:r>
      <w:r w:rsidRPr="00555F9D">
        <w:rPr>
          <w:b/>
          <w:i/>
          <w:lang w:val="en-GB"/>
        </w:rPr>
        <w:instrText xml:space="preserve"> REF _Ref494518010 \h  \* MERGEFORMAT </w:instrText>
      </w:r>
      <w:r w:rsidRPr="00555F9D">
        <w:rPr>
          <w:b/>
          <w:i/>
          <w:lang w:val="en-GB"/>
        </w:rPr>
      </w:r>
      <w:r w:rsidRPr="00555F9D">
        <w:rPr>
          <w:b/>
          <w:i/>
          <w:lang w:val="en-GB"/>
        </w:rPr>
        <w:fldChar w:fldCharType="separate"/>
      </w:r>
      <w:r w:rsidR="00BC5820">
        <w:rPr>
          <w:b/>
          <w:i/>
        </w:rPr>
        <w:t>Consider using a long ZC sequence as the WUS</w:t>
      </w:r>
      <w:r w:rsidR="00BC5820" w:rsidRPr="000F0E70">
        <w:rPr>
          <w:b/>
          <w:i/>
        </w:rPr>
        <w:t>.</w:t>
      </w:r>
      <w:r w:rsidRPr="00555F9D">
        <w:rPr>
          <w:b/>
          <w:i/>
          <w:lang w:val="en-GB"/>
        </w:rPr>
        <w:fldChar w:fldCharType="end"/>
      </w:r>
    </w:p>
    <w:p w14:paraId="69C6FF6E" w14:textId="77777777" w:rsidR="00662B1C" w:rsidRPr="00662B1C" w:rsidRDefault="00662B1C" w:rsidP="00662B1C"/>
    <w:p w14:paraId="1943BE1C" w14:textId="77777777" w:rsidR="00D0025C" w:rsidRPr="00040C32" w:rsidRDefault="00D0025C" w:rsidP="009F15B1">
      <w:pPr>
        <w:pStyle w:val="Heading1"/>
      </w:pPr>
      <w:r w:rsidRPr="00040C32">
        <w:t>References</w:t>
      </w:r>
    </w:p>
    <w:p w14:paraId="70C8CB0F" w14:textId="21312318" w:rsidR="00E6086E" w:rsidRDefault="0067325C" w:rsidP="0067325C">
      <w:pPr>
        <w:pStyle w:val="ListParagraph"/>
        <w:numPr>
          <w:ilvl w:val="0"/>
          <w:numId w:val="4"/>
        </w:numPr>
        <w:rPr>
          <w:rFonts w:ascii="Times New Roman" w:eastAsia="MS Mincho" w:hAnsi="Times New Roman"/>
          <w:sz w:val="22"/>
          <w:szCs w:val="24"/>
          <w:lang w:val="en-US" w:eastAsia="ja-JP"/>
        </w:rPr>
      </w:pPr>
      <w:bookmarkStart w:id="11" w:name="_Ref462665614"/>
      <w:r w:rsidRPr="0067325C">
        <w:rPr>
          <w:rFonts w:ascii="Times New Roman" w:eastAsia="MS Mincho" w:hAnsi="Times New Roman"/>
          <w:sz w:val="22"/>
          <w:szCs w:val="24"/>
          <w:lang w:val="en-US" w:eastAsia="ja-JP"/>
        </w:rPr>
        <w:t>RP-172063, “Revised WID on Further NB-IoT enhancements,” RAN#77, source Huawei, HiSilicon, Sapporo, Japan, September 11-14, 2017.</w:t>
      </w:r>
      <w:bookmarkEnd w:id="11"/>
    </w:p>
    <w:p w14:paraId="751C24E9" w14:textId="34C1CC20" w:rsidR="0067325C" w:rsidRPr="0067325C" w:rsidRDefault="0067325C" w:rsidP="0067325C">
      <w:pPr>
        <w:pStyle w:val="ListParagraph"/>
        <w:numPr>
          <w:ilvl w:val="0"/>
          <w:numId w:val="4"/>
        </w:numPr>
        <w:rPr>
          <w:rFonts w:ascii="Times New Roman" w:eastAsia="MS Mincho" w:hAnsi="Times New Roman"/>
          <w:sz w:val="22"/>
          <w:szCs w:val="24"/>
          <w:lang w:val="en-US" w:eastAsia="ja-JP"/>
        </w:rPr>
      </w:pPr>
      <w:bookmarkStart w:id="12" w:name="_Ref494518173"/>
      <w:r w:rsidRPr="0067325C">
        <w:rPr>
          <w:rFonts w:ascii="Times New Roman" w:eastAsia="MS Mincho" w:hAnsi="Times New Roman"/>
          <w:sz w:val="22"/>
          <w:szCs w:val="24"/>
          <w:lang w:val="en-US" w:eastAsia="ja-JP"/>
        </w:rPr>
        <w:t>R1-1717009</w:t>
      </w:r>
      <w:r>
        <w:rPr>
          <w:rFonts w:ascii="Times New Roman" w:eastAsia="MS Mincho" w:hAnsi="Times New Roman"/>
          <w:sz w:val="22"/>
          <w:szCs w:val="24"/>
          <w:lang w:val="en-US" w:eastAsia="ja-JP"/>
        </w:rPr>
        <w:t>, “</w:t>
      </w:r>
      <w:r w:rsidRPr="0067325C">
        <w:rPr>
          <w:rFonts w:ascii="Times New Roman" w:eastAsia="MS Mincho" w:hAnsi="Times New Roman"/>
          <w:sz w:val="22"/>
          <w:szCs w:val="24"/>
          <w:lang w:val="en-US" w:eastAsia="ja-JP"/>
        </w:rPr>
        <w:t>On Wake-up signal functions</w:t>
      </w:r>
      <w:r>
        <w:rPr>
          <w:rFonts w:ascii="Times New Roman" w:eastAsia="MS Mincho" w:hAnsi="Times New Roman"/>
          <w:sz w:val="22"/>
          <w:szCs w:val="24"/>
          <w:lang w:val="en-US" w:eastAsia="ja-JP"/>
        </w:rPr>
        <w:t xml:space="preserve">”, source Ericsson, </w:t>
      </w:r>
      <w:r w:rsidRPr="0067325C">
        <w:rPr>
          <w:rFonts w:ascii="Times New Roman" w:eastAsia="MS Mincho" w:hAnsi="Times New Roman"/>
          <w:sz w:val="22"/>
          <w:szCs w:val="24"/>
          <w:lang w:val="en-US" w:eastAsia="ja-JP"/>
        </w:rPr>
        <w:t>3GPP TSG RAN WG1 Meeting #90, Prague, Czech Republic, August 21-25, 2017.</w:t>
      </w:r>
      <w:bookmarkEnd w:id="12"/>
    </w:p>
    <w:p w14:paraId="26366389" w14:textId="3BDF0A65" w:rsidR="00660223" w:rsidRDefault="00660223" w:rsidP="00660223">
      <w:pPr>
        <w:numPr>
          <w:ilvl w:val="0"/>
          <w:numId w:val="4"/>
        </w:numPr>
        <w:overflowPunct w:val="0"/>
        <w:autoSpaceDE w:val="0"/>
        <w:autoSpaceDN w:val="0"/>
        <w:adjustRightInd w:val="0"/>
        <w:spacing w:after="180"/>
        <w:textAlignment w:val="baseline"/>
      </w:pPr>
      <w:bookmarkStart w:id="13" w:name="_Ref494517818"/>
      <w:r w:rsidRPr="00660223">
        <w:t xml:space="preserve">R1-1712113 </w:t>
      </w:r>
      <w:r>
        <w:t>“</w:t>
      </w:r>
      <w:r w:rsidRPr="00660223">
        <w:t>Consideration and evaluation on power saving signal in NB-IoT</w:t>
      </w:r>
      <w:r>
        <w:t xml:space="preserve">”, </w:t>
      </w:r>
      <w:r w:rsidRPr="006105F8">
        <w:t>source Huawei, HiSilicon</w:t>
      </w:r>
      <w:r>
        <w:t xml:space="preserve">, </w:t>
      </w:r>
      <w:r w:rsidRPr="00660223">
        <w:t>3GPP TSG RAN WG1 Meeting #90</w:t>
      </w:r>
      <w:r>
        <w:t xml:space="preserve">, </w:t>
      </w:r>
      <w:r w:rsidRPr="00660223">
        <w:t>Prague, Czech Republic, August 21-25, 2017</w:t>
      </w:r>
      <w:r>
        <w:t>.</w:t>
      </w:r>
      <w:bookmarkEnd w:id="13"/>
      <w:r>
        <w:t xml:space="preserve"> </w:t>
      </w:r>
    </w:p>
    <w:p w14:paraId="6527C494" w14:textId="65E70199" w:rsidR="00674053" w:rsidRPr="0074676D" w:rsidRDefault="00674053" w:rsidP="0074676D">
      <w:pPr>
        <w:rPr>
          <w:rFonts w:cs="Arial"/>
        </w:rPr>
      </w:pPr>
    </w:p>
    <w:sectPr w:rsidR="00674053" w:rsidRPr="0074676D" w:rsidSect="008F64CA">
      <w:headerReference w:type="even" r:id="rId14"/>
      <w:headerReference w:type="default" r:id="rId15"/>
      <w:footerReference w:type="even"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D19AB" w14:textId="77777777" w:rsidR="00871634" w:rsidRDefault="00871634">
      <w:pPr>
        <w:spacing w:after="0"/>
      </w:pPr>
      <w:r>
        <w:separator/>
      </w:r>
    </w:p>
  </w:endnote>
  <w:endnote w:type="continuationSeparator" w:id="0">
    <w:p w14:paraId="6A3E20C5" w14:textId="77777777" w:rsidR="00871634" w:rsidRDefault="00871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FF0E" w14:textId="77777777" w:rsidR="005E0FDD" w:rsidRDefault="005E0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14862B7C" w:rsidR="005E0FDD" w:rsidRDefault="005E0FDD">
    <w:pPr>
      <w:pStyle w:val="Footer"/>
      <w:ind w:right="-1521"/>
    </w:pPr>
    <w:r>
      <w:rPr>
        <w:rStyle w:val="PageNumber"/>
      </w:rPr>
      <w:fldChar w:fldCharType="begin"/>
    </w:r>
    <w:r>
      <w:rPr>
        <w:rStyle w:val="PageNumber"/>
      </w:rPr>
      <w:instrText xml:space="preserve"> PAGE </w:instrText>
    </w:r>
    <w:r>
      <w:rPr>
        <w:rStyle w:val="PageNumber"/>
      </w:rPr>
      <w:fldChar w:fldCharType="separate"/>
    </w:r>
    <w:r w:rsidR="003269B0">
      <w:rPr>
        <w:rStyle w:val="PageNumber"/>
      </w:rPr>
      <w:t>3</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69B0">
      <w:rPr>
        <w:rStyle w:val="PageNumber"/>
      </w:rPr>
      <w:t>3</w:t>
    </w:r>
    <w:r>
      <w:rPr>
        <w:rStyle w:val="PageNumber"/>
      </w:rPr>
      <w:fldChar w:fldCharType="end"/>
    </w:r>
    <w:r>
      <w:rPr>
        <w:rStyle w:val="PageNumber"/>
      </w:rPr>
      <w:t>)</w:t>
    </w:r>
    <w:bookmarkEnd w:id="1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65A38AC2" w:rsidR="005E0FDD" w:rsidRDefault="005E0FDD">
    <w:pPr>
      <w:pStyle w:val="Footer"/>
    </w:pPr>
    <w:r>
      <w:rPr>
        <w:rStyle w:val="PageNumber"/>
      </w:rPr>
      <w:fldChar w:fldCharType="begin"/>
    </w:r>
    <w:r>
      <w:rPr>
        <w:rStyle w:val="PageNumber"/>
      </w:rPr>
      <w:instrText xml:space="preserve"> PAGE </w:instrText>
    </w:r>
    <w:r>
      <w:rPr>
        <w:rStyle w:val="PageNumber"/>
      </w:rPr>
      <w:fldChar w:fldCharType="separate"/>
    </w:r>
    <w:r w:rsidR="003269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69B0">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9D92B" w14:textId="77777777" w:rsidR="00871634" w:rsidRDefault="00871634">
      <w:pPr>
        <w:spacing w:after="0"/>
      </w:pPr>
      <w:r>
        <w:separator/>
      </w:r>
    </w:p>
  </w:footnote>
  <w:footnote w:type="continuationSeparator" w:id="0">
    <w:p w14:paraId="483F92C7" w14:textId="77777777" w:rsidR="00871634" w:rsidRDefault="008716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9DCD3" w14:textId="77777777" w:rsidR="005E0FDD" w:rsidRDefault="005E0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5E0FDD" w:rsidRPr="006A0FC7" w:rsidRDefault="005E0FDD"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5E0FDD" w:rsidRPr="00BF30DA" w:rsidRDefault="005E0FDD"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A93"/>
    <w:multiLevelType w:val="hybridMultilevel"/>
    <w:tmpl w:val="17A20B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D11B8"/>
    <w:multiLevelType w:val="hybridMultilevel"/>
    <w:tmpl w:val="17A20B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6"/>
  </w:num>
  <w:num w:numId="4">
    <w:abstractNumId w:val="8"/>
  </w:num>
  <w:num w:numId="5">
    <w:abstractNumId w:val="14"/>
  </w:num>
  <w:num w:numId="6">
    <w:abstractNumId w:val="19"/>
  </w:num>
  <w:num w:numId="7">
    <w:abstractNumId w:val="17"/>
  </w:num>
  <w:num w:numId="8">
    <w:abstractNumId w:val="11"/>
  </w:num>
  <w:num w:numId="9">
    <w:abstractNumId w:val="6"/>
  </w:num>
  <w:num w:numId="10">
    <w:abstractNumId w:val="15"/>
  </w:num>
  <w:num w:numId="11">
    <w:abstractNumId w:val="12"/>
  </w:num>
  <w:num w:numId="12">
    <w:abstractNumId w:val="10"/>
  </w:num>
  <w:num w:numId="13">
    <w:abstractNumId w:val="5"/>
  </w:num>
  <w:num w:numId="14">
    <w:abstractNumId w:val="4"/>
  </w:num>
  <w:num w:numId="15">
    <w:abstractNumId w:val="1"/>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0"/>
  </w:num>
  <w:num w:numId="2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16BBB"/>
    <w:rsid w:val="00023947"/>
    <w:rsid w:val="000246B6"/>
    <w:rsid w:val="00026998"/>
    <w:rsid w:val="00030434"/>
    <w:rsid w:val="00032044"/>
    <w:rsid w:val="00040C32"/>
    <w:rsid w:val="00042F9B"/>
    <w:rsid w:val="000458F1"/>
    <w:rsid w:val="00050CE3"/>
    <w:rsid w:val="00051840"/>
    <w:rsid w:val="00054C9C"/>
    <w:rsid w:val="00064EC6"/>
    <w:rsid w:val="00065736"/>
    <w:rsid w:val="00066454"/>
    <w:rsid w:val="00067587"/>
    <w:rsid w:val="000713E2"/>
    <w:rsid w:val="00073095"/>
    <w:rsid w:val="00077B1B"/>
    <w:rsid w:val="00087413"/>
    <w:rsid w:val="000900F5"/>
    <w:rsid w:val="00095293"/>
    <w:rsid w:val="000A1844"/>
    <w:rsid w:val="000A3E5D"/>
    <w:rsid w:val="000A6ED3"/>
    <w:rsid w:val="000B4A82"/>
    <w:rsid w:val="000B5175"/>
    <w:rsid w:val="000C0578"/>
    <w:rsid w:val="000C5230"/>
    <w:rsid w:val="000D6E7E"/>
    <w:rsid w:val="000E237B"/>
    <w:rsid w:val="000E43FA"/>
    <w:rsid w:val="000E4DCC"/>
    <w:rsid w:val="000E51FE"/>
    <w:rsid w:val="000F1B6D"/>
    <w:rsid w:val="000F1CFD"/>
    <w:rsid w:val="000F4D52"/>
    <w:rsid w:val="000F6784"/>
    <w:rsid w:val="000F6FF5"/>
    <w:rsid w:val="00100216"/>
    <w:rsid w:val="00103529"/>
    <w:rsid w:val="001111C8"/>
    <w:rsid w:val="0011133B"/>
    <w:rsid w:val="00112C00"/>
    <w:rsid w:val="0011695D"/>
    <w:rsid w:val="001173BC"/>
    <w:rsid w:val="00120F8D"/>
    <w:rsid w:val="00122163"/>
    <w:rsid w:val="00127903"/>
    <w:rsid w:val="0013001D"/>
    <w:rsid w:val="001305AB"/>
    <w:rsid w:val="00134AC8"/>
    <w:rsid w:val="001421FF"/>
    <w:rsid w:val="0014525B"/>
    <w:rsid w:val="00145F76"/>
    <w:rsid w:val="001468F8"/>
    <w:rsid w:val="00146E22"/>
    <w:rsid w:val="001476A2"/>
    <w:rsid w:val="00153462"/>
    <w:rsid w:val="00155CA9"/>
    <w:rsid w:val="00155CDC"/>
    <w:rsid w:val="001653B4"/>
    <w:rsid w:val="00166321"/>
    <w:rsid w:val="00167668"/>
    <w:rsid w:val="00167A91"/>
    <w:rsid w:val="00170D0A"/>
    <w:rsid w:val="001746B7"/>
    <w:rsid w:val="0018186A"/>
    <w:rsid w:val="001824D7"/>
    <w:rsid w:val="00182E1C"/>
    <w:rsid w:val="00183C5E"/>
    <w:rsid w:val="00186EB2"/>
    <w:rsid w:val="00187411"/>
    <w:rsid w:val="001916E5"/>
    <w:rsid w:val="001920C1"/>
    <w:rsid w:val="00194D02"/>
    <w:rsid w:val="001A15F9"/>
    <w:rsid w:val="001A2578"/>
    <w:rsid w:val="001A2FFC"/>
    <w:rsid w:val="001A52BB"/>
    <w:rsid w:val="001A5A1C"/>
    <w:rsid w:val="001B1EE9"/>
    <w:rsid w:val="001B591D"/>
    <w:rsid w:val="001C2B71"/>
    <w:rsid w:val="001D2761"/>
    <w:rsid w:val="001D5825"/>
    <w:rsid w:val="001E2FAB"/>
    <w:rsid w:val="001E5F69"/>
    <w:rsid w:val="001F1128"/>
    <w:rsid w:val="001F39CD"/>
    <w:rsid w:val="001F6219"/>
    <w:rsid w:val="0020440B"/>
    <w:rsid w:val="002070CF"/>
    <w:rsid w:val="0021026C"/>
    <w:rsid w:val="00210DE0"/>
    <w:rsid w:val="0021185C"/>
    <w:rsid w:val="00211A8D"/>
    <w:rsid w:val="002140FF"/>
    <w:rsid w:val="002149B3"/>
    <w:rsid w:val="0021693F"/>
    <w:rsid w:val="00224A22"/>
    <w:rsid w:val="00225BDF"/>
    <w:rsid w:val="00225F21"/>
    <w:rsid w:val="002345BF"/>
    <w:rsid w:val="002346A8"/>
    <w:rsid w:val="00240532"/>
    <w:rsid w:val="00243252"/>
    <w:rsid w:val="00246705"/>
    <w:rsid w:val="00250B34"/>
    <w:rsid w:val="0025283A"/>
    <w:rsid w:val="00252A5E"/>
    <w:rsid w:val="00254977"/>
    <w:rsid w:val="00260842"/>
    <w:rsid w:val="002670B0"/>
    <w:rsid w:val="00274655"/>
    <w:rsid w:val="00275CF9"/>
    <w:rsid w:val="002848DE"/>
    <w:rsid w:val="00286985"/>
    <w:rsid w:val="00292366"/>
    <w:rsid w:val="00294AA7"/>
    <w:rsid w:val="002A5F54"/>
    <w:rsid w:val="002B3029"/>
    <w:rsid w:val="002B53A1"/>
    <w:rsid w:val="002C090C"/>
    <w:rsid w:val="002C3241"/>
    <w:rsid w:val="002C3EC8"/>
    <w:rsid w:val="002C4D77"/>
    <w:rsid w:val="002C777A"/>
    <w:rsid w:val="002C7894"/>
    <w:rsid w:val="002D1FD1"/>
    <w:rsid w:val="002D41B6"/>
    <w:rsid w:val="002D41C0"/>
    <w:rsid w:val="002E0496"/>
    <w:rsid w:val="002E3796"/>
    <w:rsid w:val="002E4823"/>
    <w:rsid w:val="002E4A59"/>
    <w:rsid w:val="002E6163"/>
    <w:rsid w:val="002E6E6D"/>
    <w:rsid w:val="002F0B9F"/>
    <w:rsid w:val="002F1E0C"/>
    <w:rsid w:val="002F5297"/>
    <w:rsid w:val="002F5A5C"/>
    <w:rsid w:val="002F6616"/>
    <w:rsid w:val="00301C73"/>
    <w:rsid w:val="00302688"/>
    <w:rsid w:val="003036B0"/>
    <w:rsid w:val="0030478D"/>
    <w:rsid w:val="00304B8A"/>
    <w:rsid w:val="00312978"/>
    <w:rsid w:val="00314D8B"/>
    <w:rsid w:val="0031514F"/>
    <w:rsid w:val="00320EC5"/>
    <w:rsid w:val="003227B7"/>
    <w:rsid w:val="003235A5"/>
    <w:rsid w:val="003269B0"/>
    <w:rsid w:val="00327D85"/>
    <w:rsid w:val="003317F8"/>
    <w:rsid w:val="0033211A"/>
    <w:rsid w:val="003344F3"/>
    <w:rsid w:val="00340F70"/>
    <w:rsid w:val="00350056"/>
    <w:rsid w:val="00360502"/>
    <w:rsid w:val="0037062D"/>
    <w:rsid w:val="0037667A"/>
    <w:rsid w:val="00382406"/>
    <w:rsid w:val="00383189"/>
    <w:rsid w:val="0038546A"/>
    <w:rsid w:val="003914A6"/>
    <w:rsid w:val="00396414"/>
    <w:rsid w:val="003A3526"/>
    <w:rsid w:val="003A3D1D"/>
    <w:rsid w:val="003A79AB"/>
    <w:rsid w:val="003B163E"/>
    <w:rsid w:val="003B70D0"/>
    <w:rsid w:val="003C2A4E"/>
    <w:rsid w:val="003C40B6"/>
    <w:rsid w:val="003C6570"/>
    <w:rsid w:val="003C7664"/>
    <w:rsid w:val="003D30F6"/>
    <w:rsid w:val="003D3A36"/>
    <w:rsid w:val="003D492C"/>
    <w:rsid w:val="003D5A36"/>
    <w:rsid w:val="003E46E6"/>
    <w:rsid w:val="00400FF7"/>
    <w:rsid w:val="00406175"/>
    <w:rsid w:val="004177A0"/>
    <w:rsid w:val="00420331"/>
    <w:rsid w:val="0042082E"/>
    <w:rsid w:val="00422A84"/>
    <w:rsid w:val="00426FD6"/>
    <w:rsid w:val="004325D0"/>
    <w:rsid w:val="004360A7"/>
    <w:rsid w:val="00450A54"/>
    <w:rsid w:val="00460DAA"/>
    <w:rsid w:val="00462D9F"/>
    <w:rsid w:val="0047020B"/>
    <w:rsid w:val="00473761"/>
    <w:rsid w:val="004769BB"/>
    <w:rsid w:val="00476F17"/>
    <w:rsid w:val="00481C6D"/>
    <w:rsid w:val="004862DD"/>
    <w:rsid w:val="00486DA9"/>
    <w:rsid w:val="00487384"/>
    <w:rsid w:val="004901C7"/>
    <w:rsid w:val="00492325"/>
    <w:rsid w:val="00492C7C"/>
    <w:rsid w:val="00494FD0"/>
    <w:rsid w:val="004A27EF"/>
    <w:rsid w:val="004A6C62"/>
    <w:rsid w:val="004A6F8E"/>
    <w:rsid w:val="004A754A"/>
    <w:rsid w:val="004B16A3"/>
    <w:rsid w:val="004B2104"/>
    <w:rsid w:val="004B5641"/>
    <w:rsid w:val="004C5C00"/>
    <w:rsid w:val="004D1169"/>
    <w:rsid w:val="004E234E"/>
    <w:rsid w:val="004E25C1"/>
    <w:rsid w:val="004E55F1"/>
    <w:rsid w:val="004E6FA6"/>
    <w:rsid w:val="004F1A79"/>
    <w:rsid w:val="004F415C"/>
    <w:rsid w:val="004F42FB"/>
    <w:rsid w:val="004F6586"/>
    <w:rsid w:val="00501447"/>
    <w:rsid w:val="00502083"/>
    <w:rsid w:val="00503F5F"/>
    <w:rsid w:val="00506846"/>
    <w:rsid w:val="00514643"/>
    <w:rsid w:val="00514E35"/>
    <w:rsid w:val="00516E84"/>
    <w:rsid w:val="00517CD5"/>
    <w:rsid w:val="005220A3"/>
    <w:rsid w:val="0052775E"/>
    <w:rsid w:val="00530EAD"/>
    <w:rsid w:val="00532695"/>
    <w:rsid w:val="00532ABE"/>
    <w:rsid w:val="00534C57"/>
    <w:rsid w:val="00535CFA"/>
    <w:rsid w:val="0054007A"/>
    <w:rsid w:val="00541BD8"/>
    <w:rsid w:val="0054204E"/>
    <w:rsid w:val="00542E85"/>
    <w:rsid w:val="00545DBC"/>
    <w:rsid w:val="00551443"/>
    <w:rsid w:val="00551E65"/>
    <w:rsid w:val="00552672"/>
    <w:rsid w:val="005549B8"/>
    <w:rsid w:val="005549D7"/>
    <w:rsid w:val="00555F9D"/>
    <w:rsid w:val="00556DD7"/>
    <w:rsid w:val="005578FC"/>
    <w:rsid w:val="00560A00"/>
    <w:rsid w:val="00561FE2"/>
    <w:rsid w:val="00562747"/>
    <w:rsid w:val="0056324C"/>
    <w:rsid w:val="00565213"/>
    <w:rsid w:val="00567905"/>
    <w:rsid w:val="00570629"/>
    <w:rsid w:val="00574782"/>
    <w:rsid w:val="005819F1"/>
    <w:rsid w:val="00585A8F"/>
    <w:rsid w:val="0058763E"/>
    <w:rsid w:val="00587BFF"/>
    <w:rsid w:val="00590754"/>
    <w:rsid w:val="00593C5B"/>
    <w:rsid w:val="005A2136"/>
    <w:rsid w:val="005A2DC7"/>
    <w:rsid w:val="005A5F6A"/>
    <w:rsid w:val="005A73F9"/>
    <w:rsid w:val="005B3AC1"/>
    <w:rsid w:val="005B43FF"/>
    <w:rsid w:val="005B7927"/>
    <w:rsid w:val="005B7FD3"/>
    <w:rsid w:val="005C1045"/>
    <w:rsid w:val="005C43AF"/>
    <w:rsid w:val="005D0804"/>
    <w:rsid w:val="005D2421"/>
    <w:rsid w:val="005D5FB2"/>
    <w:rsid w:val="005D7A30"/>
    <w:rsid w:val="005D7EAB"/>
    <w:rsid w:val="005E0FDD"/>
    <w:rsid w:val="005F0049"/>
    <w:rsid w:val="005F1048"/>
    <w:rsid w:val="005F1BF9"/>
    <w:rsid w:val="005F2340"/>
    <w:rsid w:val="005F2777"/>
    <w:rsid w:val="005F2D8A"/>
    <w:rsid w:val="005F50CF"/>
    <w:rsid w:val="005F5F23"/>
    <w:rsid w:val="006005D8"/>
    <w:rsid w:val="006034CC"/>
    <w:rsid w:val="006040BD"/>
    <w:rsid w:val="006105F8"/>
    <w:rsid w:val="00611383"/>
    <w:rsid w:val="00611E08"/>
    <w:rsid w:val="006120D3"/>
    <w:rsid w:val="00616BF7"/>
    <w:rsid w:val="00622DD5"/>
    <w:rsid w:val="00622DDC"/>
    <w:rsid w:val="0063003B"/>
    <w:rsid w:val="0063051D"/>
    <w:rsid w:val="00631B7D"/>
    <w:rsid w:val="006336FE"/>
    <w:rsid w:val="00633EFB"/>
    <w:rsid w:val="00635F56"/>
    <w:rsid w:val="0063781B"/>
    <w:rsid w:val="006408F9"/>
    <w:rsid w:val="00650072"/>
    <w:rsid w:val="00650DFB"/>
    <w:rsid w:val="00653B0D"/>
    <w:rsid w:val="006571DE"/>
    <w:rsid w:val="00660223"/>
    <w:rsid w:val="00661BF5"/>
    <w:rsid w:val="00662B1C"/>
    <w:rsid w:val="006635DF"/>
    <w:rsid w:val="00664815"/>
    <w:rsid w:val="00665B79"/>
    <w:rsid w:val="00670718"/>
    <w:rsid w:val="006731AF"/>
    <w:rsid w:val="0067325C"/>
    <w:rsid w:val="00674053"/>
    <w:rsid w:val="00676F66"/>
    <w:rsid w:val="006874AB"/>
    <w:rsid w:val="0069393C"/>
    <w:rsid w:val="00693B4E"/>
    <w:rsid w:val="0069737F"/>
    <w:rsid w:val="006A1AC3"/>
    <w:rsid w:val="006A3A54"/>
    <w:rsid w:val="006B073B"/>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48D6"/>
    <w:rsid w:val="006E577B"/>
    <w:rsid w:val="006E5AB2"/>
    <w:rsid w:val="007003FC"/>
    <w:rsid w:val="007127E1"/>
    <w:rsid w:val="0072086F"/>
    <w:rsid w:val="00730249"/>
    <w:rsid w:val="0073097D"/>
    <w:rsid w:val="00737463"/>
    <w:rsid w:val="0074094A"/>
    <w:rsid w:val="0074676D"/>
    <w:rsid w:val="00752444"/>
    <w:rsid w:val="00760701"/>
    <w:rsid w:val="00761D18"/>
    <w:rsid w:val="00763E73"/>
    <w:rsid w:val="007656D3"/>
    <w:rsid w:val="00766DE5"/>
    <w:rsid w:val="007670E6"/>
    <w:rsid w:val="00771B1B"/>
    <w:rsid w:val="00771E1A"/>
    <w:rsid w:val="00773048"/>
    <w:rsid w:val="00776B00"/>
    <w:rsid w:val="00777465"/>
    <w:rsid w:val="00782477"/>
    <w:rsid w:val="00783270"/>
    <w:rsid w:val="0078523A"/>
    <w:rsid w:val="007863C5"/>
    <w:rsid w:val="00786446"/>
    <w:rsid w:val="0078652C"/>
    <w:rsid w:val="00786A10"/>
    <w:rsid w:val="007871A4"/>
    <w:rsid w:val="00792756"/>
    <w:rsid w:val="007A1B0B"/>
    <w:rsid w:val="007A1D4C"/>
    <w:rsid w:val="007A2E89"/>
    <w:rsid w:val="007A44F7"/>
    <w:rsid w:val="007A4C7D"/>
    <w:rsid w:val="007C0300"/>
    <w:rsid w:val="007C0E55"/>
    <w:rsid w:val="007C5560"/>
    <w:rsid w:val="007C6692"/>
    <w:rsid w:val="007C7D08"/>
    <w:rsid w:val="007D1822"/>
    <w:rsid w:val="007D3134"/>
    <w:rsid w:val="007D3B77"/>
    <w:rsid w:val="007E7BC4"/>
    <w:rsid w:val="007F2B85"/>
    <w:rsid w:val="007F5C12"/>
    <w:rsid w:val="007F6408"/>
    <w:rsid w:val="00804CB5"/>
    <w:rsid w:val="00807936"/>
    <w:rsid w:val="00810B99"/>
    <w:rsid w:val="00817A8C"/>
    <w:rsid w:val="008227C8"/>
    <w:rsid w:val="00823C66"/>
    <w:rsid w:val="00826896"/>
    <w:rsid w:val="00827E27"/>
    <w:rsid w:val="00831109"/>
    <w:rsid w:val="00835BD8"/>
    <w:rsid w:val="00840A9C"/>
    <w:rsid w:val="00841A5A"/>
    <w:rsid w:val="00847BAF"/>
    <w:rsid w:val="0086071C"/>
    <w:rsid w:val="00861FAE"/>
    <w:rsid w:val="00863528"/>
    <w:rsid w:val="008641BF"/>
    <w:rsid w:val="008659F2"/>
    <w:rsid w:val="00871634"/>
    <w:rsid w:val="00871B8C"/>
    <w:rsid w:val="00871EEB"/>
    <w:rsid w:val="00874927"/>
    <w:rsid w:val="0088184F"/>
    <w:rsid w:val="00881CF5"/>
    <w:rsid w:val="008861D7"/>
    <w:rsid w:val="00886A07"/>
    <w:rsid w:val="00895014"/>
    <w:rsid w:val="00896320"/>
    <w:rsid w:val="008A1390"/>
    <w:rsid w:val="008A2470"/>
    <w:rsid w:val="008B20EE"/>
    <w:rsid w:val="008B5CAA"/>
    <w:rsid w:val="008C0AB2"/>
    <w:rsid w:val="008D09EC"/>
    <w:rsid w:val="008D116E"/>
    <w:rsid w:val="008D3FB0"/>
    <w:rsid w:val="008D5EE7"/>
    <w:rsid w:val="008D7659"/>
    <w:rsid w:val="008E1BEF"/>
    <w:rsid w:val="008F64CA"/>
    <w:rsid w:val="009009E5"/>
    <w:rsid w:val="009057D1"/>
    <w:rsid w:val="00905CFB"/>
    <w:rsid w:val="00907764"/>
    <w:rsid w:val="009113C4"/>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6910"/>
    <w:rsid w:val="00942214"/>
    <w:rsid w:val="00943C94"/>
    <w:rsid w:val="0094429F"/>
    <w:rsid w:val="00946939"/>
    <w:rsid w:val="00946C1B"/>
    <w:rsid w:val="00954C82"/>
    <w:rsid w:val="00955CF1"/>
    <w:rsid w:val="00957CF2"/>
    <w:rsid w:val="00957DF1"/>
    <w:rsid w:val="00966383"/>
    <w:rsid w:val="0097382B"/>
    <w:rsid w:val="009738B3"/>
    <w:rsid w:val="00974536"/>
    <w:rsid w:val="0097789C"/>
    <w:rsid w:val="00980827"/>
    <w:rsid w:val="00980D8E"/>
    <w:rsid w:val="00981CB7"/>
    <w:rsid w:val="009850C2"/>
    <w:rsid w:val="00986A8B"/>
    <w:rsid w:val="009A0919"/>
    <w:rsid w:val="009A1130"/>
    <w:rsid w:val="009A2BB3"/>
    <w:rsid w:val="009A3C14"/>
    <w:rsid w:val="009A53E6"/>
    <w:rsid w:val="009B0B09"/>
    <w:rsid w:val="009B5ED9"/>
    <w:rsid w:val="009C0295"/>
    <w:rsid w:val="009C4D76"/>
    <w:rsid w:val="009C74D4"/>
    <w:rsid w:val="009D3605"/>
    <w:rsid w:val="009E1EBC"/>
    <w:rsid w:val="009E380C"/>
    <w:rsid w:val="009E67E3"/>
    <w:rsid w:val="009F0A3D"/>
    <w:rsid w:val="009F15B1"/>
    <w:rsid w:val="009F2576"/>
    <w:rsid w:val="009F29A9"/>
    <w:rsid w:val="009F523A"/>
    <w:rsid w:val="009F6E28"/>
    <w:rsid w:val="00A019AB"/>
    <w:rsid w:val="00A02DFD"/>
    <w:rsid w:val="00A04DC2"/>
    <w:rsid w:val="00A050A1"/>
    <w:rsid w:val="00A10AD1"/>
    <w:rsid w:val="00A11925"/>
    <w:rsid w:val="00A16392"/>
    <w:rsid w:val="00A256F8"/>
    <w:rsid w:val="00A359BF"/>
    <w:rsid w:val="00A36CD6"/>
    <w:rsid w:val="00A3735A"/>
    <w:rsid w:val="00A377DD"/>
    <w:rsid w:val="00A40685"/>
    <w:rsid w:val="00A41437"/>
    <w:rsid w:val="00A443E2"/>
    <w:rsid w:val="00A44914"/>
    <w:rsid w:val="00A458AB"/>
    <w:rsid w:val="00A45A67"/>
    <w:rsid w:val="00A45AF3"/>
    <w:rsid w:val="00A46442"/>
    <w:rsid w:val="00A5096A"/>
    <w:rsid w:val="00A527C1"/>
    <w:rsid w:val="00A531D9"/>
    <w:rsid w:val="00A534E4"/>
    <w:rsid w:val="00A5395E"/>
    <w:rsid w:val="00A54C0E"/>
    <w:rsid w:val="00A57673"/>
    <w:rsid w:val="00A65EAF"/>
    <w:rsid w:val="00A67B01"/>
    <w:rsid w:val="00A7001B"/>
    <w:rsid w:val="00A71ACC"/>
    <w:rsid w:val="00A72DBD"/>
    <w:rsid w:val="00A80E97"/>
    <w:rsid w:val="00A87EB5"/>
    <w:rsid w:val="00A929E6"/>
    <w:rsid w:val="00A9335C"/>
    <w:rsid w:val="00A93726"/>
    <w:rsid w:val="00A967CC"/>
    <w:rsid w:val="00A97361"/>
    <w:rsid w:val="00AA12B2"/>
    <w:rsid w:val="00AA52A8"/>
    <w:rsid w:val="00AA6225"/>
    <w:rsid w:val="00AA7EDD"/>
    <w:rsid w:val="00AB244D"/>
    <w:rsid w:val="00AB6145"/>
    <w:rsid w:val="00AC2D96"/>
    <w:rsid w:val="00AC36C5"/>
    <w:rsid w:val="00AC5266"/>
    <w:rsid w:val="00AC643E"/>
    <w:rsid w:val="00AC7D69"/>
    <w:rsid w:val="00AD06B7"/>
    <w:rsid w:val="00AD26EB"/>
    <w:rsid w:val="00AD2874"/>
    <w:rsid w:val="00AD2F6C"/>
    <w:rsid w:val="00AD61CE"/>
    <w:rsid w:val="00AD641C"/>
    <w:rsid w:val="00AF56D2"/>
    <w:rsid w:val="00B01679"/>
    <w:rsid w:val="00B030CF"/>
    <w:rsid w:val="00B17147"/>
    <w:rsid w:val="00B20909"/>
    <w:rsid w:val="00B23E5D"/>
    <w:rsid w:val="00B356BF"/>
    <w:rsid w:val="00B36D78"/>
    <w:rsid w:val="00B36F20"/>
    <w:rsid w:val="00B420EC"/>
    <w:rsid w:val="00B45D42"/>
    <w:rsid w:val="00B637EA"/>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A7627"/>
    <w:rsid w:val="00BB0465"/>
    <w:rsid w:val="00BB22CB"/>
    <w:rsid w:val="00BB3A77"/>
    <w:rsid w:val="00BB4174"/>
    <w:rsid w:val="00BB5224"/>
    <w:rsid w:val="00BC0CD5"/>
    <w:rsid w:val="00BC0EF9"/>
    <w:rsid w:val="00BC1564"/>
    <w:rsid w:val="00BC5820"/>
    <w:rsid w:val="00BC649A"/>
    <w:rsid w:val="00BC76A7"/>
    <w:rsid w:val="00BD14C6"/>
    <w:rsid w:val="00BD15BA"/>
    <w:rsid w:val="00BE0C91"/>
    <w:rsid w:val="00BF13B1"/>
    <w:rsid w:val="00BF1E31"/>
    <w:rsid w:val="00C17003"/>
    <w:rsid w:val="00C1703B"/>
    <w:rsid w:val="00C203E6"/>
    <w:rsid w:val="00C20E46"/>
    <w:rsid w:val="00C24352"/>
    <w:rsid w:val="00C24A0B"/>
    <w:rsid w:val="00C26CDD"/>
    <w:rsid w:val="00C26D86"/>
    <w:rsid w:val="00C308F3"/>
    <w:rsid w:val="00C33678"/>
    <w:rsid w:val="00C367EF"/>
    <w:rsid w:val="00C40491"/>
    <w:rsid w:val="00C40CDF"/>
    <w:rsid w:val="00C43944"/>
    <w:rsid w:val="00C4627A"/>
    <w:rsid w:val="00C52AF2"/>
    <w:rsid w:val="00C54790"/>
    <w:rsid w:val="00C548DC"/>
    <w:rsid w:val="00C60F42"/>
    <w:rsid w:val="00C63EDE"/>
    <w:rsid w:val="00C64033"/>
    <w:rsid w:val="00C70500"/>
    <w:rsid w:val="00C749F5"/>
    <w:rsid w:val="00C74A3E"/>
    <w:rsid w:val="00C75FFE"/>
    <w:rsid w:val="00C76377"/>
    <w:rsid w:val="00C80A35"/>
    <w:rsid w:val="00C819E0"/>
    <w:rsid w:val="00C82EC5"/>
    <w:rsid w:val="00C839AC"/>
    <w:rsid w:val="00C850DF"/>
    <w:rsid w:val="00C92091"/>
    <w:rsid w:val="00C94972"/>
    <w:rsid w:val="00C94FDA"/>
    <w:rsid w:val="00C95162"/>
    <w:rsid w:val="00C96423"/>
    <w:rsid w:val="00CA1915"/>
    <w:rsid w:val="00CA5DB9"/>
    <w:rsid w:val="00CA6F3C"/>
    <w:rsid w:val="00CB014E"/>
    <w:rsid w:val="00CB31B2"/>
    <w:rsid w:val="00CB53BC"/>
    <w:rsid w:val="00CB7299"/>
    <w:rsid w:val="00CD6908"/>
    <w:rsid w:val="00CE2519"/>
    <w:rsid w:val="00CE2C68"/>
    <w:rsid w:val="00CE5565"/>
    <w:rsid w:val="00CE58A2"/>
    <w:rsid w:val="00CE7E26"/>
    <w:rsid w:val="00CF0561"/>
    <w:rsid w:val="00CF6F14"/>
    <w:rsid w:val="00CF72E6"/>
    <w:rsid w:val="00CF79C3"/>
    <w:rsid w:val="00D0025C"/>
    <w:rsid w:val="00D00E1C"/>
    <w:rsid w:val="00D0195B"/>
    <w:rsid w:val="00D01C7F"/>
    <w:rsid w:val="00D05C2F"/>
    <w:rsid w:val="00D12E0F"/>
    <w:rsid w:val="00D22012"/>
    <w:rsid w:val="00D22A66"/>
    <w:rsid w:val="00D30FD9"/>
    <w:rsid w:val="00D33B44"/>
    <w:rsid w:val="00D34011"/>
    <w:rsid w:val="00D439EE"/>
    <w:rsid w:val="00D44844"/>
    <w:rsid w:val="00D46A5B"/>
    <w:rsid w:val="00D4775B"/>
    <w:rsid w:val="00D47B89"/>
    <w:rsid w:val="00D558D9"/>
    <w:rsid w:val="00D57802"/>
    <w:rsid w:val="00D6027D"/>
    <w:rsid w:val="00D60A76"/>
    <w:rsid w:val="00D63967"/>
    <w:rsid w:val="00D63F8F"/>
    <w:rsid w:val="00D71762"/>
    <w:rsid w:val="00D7387D"/>
    <w:rsid w:val="00D8304F"/>
    <w:rsid w:val="00D83DCB"/>
    <w:rsid w:val="00D84E67"/>
    <w:rsid w:val="00D90AFD"/>
    <w:rsid w:val="00D92BF8"/>
    <w:rsid w:val="00DA1FAD"/>
    <w:rsid w:val="00DA51A9"/>
    <w:rsid w:val="00DA5E21"/>
    <w:rsid w:val="00DA764E"/>
    <w:rsid w:val="00DB7A42"/>
    <w:rsid w:val="00DC25E0"/>
    <w:rsid w:val="00DC4196"/>
    <w:rsid w:val="00DC79AD"/>
    <w:rsid w:val="00DD69F6"/>
    <w:rsid w:val="00DE0643"/>
    <w:rsid w:val="00DE5095"/>
    <w:rsid w:val="00DE6549"/>
    <w:rsid w:val="00DF0755"/>
    <w:rsid w:val="00DF0DBA"/>
    <w:rsid w:val="00DF6015"/>
    <w:rsid w:val="00E05DA4"/>
    <w:rsid w:val="00E101B8"/>
    <w:rsid w:val="00E12A20"/>
    <w:rsid w:val="00E136A8"/>
    <w:rsid w:val="00E137C0"/>
    <w:rsid w:val="00E13EAE"/>
    <w:rsid w:val="00E1582E"/>
    <w:rsid w:val="00E1677F"/>
    <w:rsid w:val="00E16F8D"/>
    <w:rsid w:val="00E250A8"/>
    <w:rsid w:val="00E26E91"/>
    <w:rsid w:val="00E35A1C"/>
    <w:rsid w:val="00E35C8C"/>
    <w:rsid w:val="00E377CF"/>
    <w:rsid w:val="00E44B57"/>
    <w:rsid w:val="00E46E40"/>
    <w:rsid w:val="00E47004"/>
    <w:rsid w:val="00E477E3"/>
    <w:rsid w:val="00E479A5"/>
    <w:rsid w:val="00E55180"/>
    <w:rsid w:val="00E571DF"/>
    <w:rsid w:val="00E6086E"/>
    <w:rsid w:val="00E6215C"/>
    <w:rsid w:val="00E62F20"/>
    <w:rsid w:val="00E65CDE"/>
    <w:rsid w:val="00E74894"/>
    <w:rsid w:val="00E7602F"/>
    <w:rsid w:val="00E76D48"/>
    <w:rsid w:val="00E76FEB"/>
    <w:rsid w:val="00E82A60"/>
    <w:rsid w:val="00E82E43"/>
    <w:rsid w:val="00E835D2"/>
    <w:rsid w:val="00E836B7"/>
    <w:rsid w:val="00E84498"/>
    <w:rsid w:val="00E84FD0"/>
    <w:rsid w:val="00E86724"/>
    <w:rsid w:val="00E86EC1"/>
    <w:rsid w:val="00E94277"/>
    <w:rsid w:val="00EA1CA3"/>
    <w:rsid w:val="00EA2927"/>
    <w:rsid w:val="00EA3C9B"/>
    <w:rsid w:val="00EA7725"/>
    <w:rsid w:val="00EB2D78"/>
    <w:rsid w:val="00EB6E2F"/>
    <w:rsid w:val="00EB6EEE"/>
    <w:rsid w:val="00EC02EC"/>
    <w:rsid w:val="00EC1807"/>
    <w:rsid w:val="00EC6BEE"/>
    <w:rsid w:val="00ED2335"/>
    <w:rsid w:val="00ED31AB"/>
    <w:rsid w:val="00ED36B6"/>
    <w:rsid w:val="00ED72F7"/>
    <w:rsid w:val="00EE52B4"/>
    <w:rsid w:val="00EF0D90"/>
    <w:rsid w:val="00EF1272"/>
    <w:rsid w:val="00F004DC"/>
    <w:rsid w:val="00F00D98"/>
    <w:rsid w:val="00F015E7"/>
    <w:rsid w:val="00F165EE"/>
    <w:rsid w:val="00F171F4"/>
    <w:rsid w:val="00F25C89"/>
    <w:rsid w:val="00F40715"/>
    <w:rsid w:val="00F418FA"/>
    <w:rsid w:val="00F44583"/>
    <w:rsid w:val="00F4495E"/>
    <w:rsid w:val="00F50910"/>
    <w:rsid w:val="00F5371A"/>
    <w:rsid w:val="00F5775B"/>
    <w:rsid w:val="00F670DD"/>
    <w:rsid w:val="00F73C09"/>
    <w:rsid w:val="00F75A67"/>
    <w:rsid w:val="00F81C10"/>
    <w:rsid w:val="00F8357A"/>
    <w:rsid w:val="00F839CE"/>
    <w:rsid w:val="00F862E5"/>
    <w:rsid w:val="00F91AC7"/>
    <w:rsid w:val="00F92EE4"/>
    <w:rsid w:val="00F93697"/>
    <w:rsid w:val="00FA6CF0"/>
    <w:rsid w:val="00FA7449"/>
    <w:rsid w:val="00FB0F00"/>
    <w:rsid w:val="00FB1C4B"/>
    <w:rsid w:val="00FB477C"/>
    <w:rsid w:val="00FB6D8A"/>
    <w:rsid w:val="00FB71A5"/>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2684E-4317-4ABE-8053-99DA55E65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2017-09-30T05:02:00Z</dcterms:created>
  <dcterms:modified xsi:type="dcterms:W3CDTF">2017-09-30T05:02:00Z</dcterms:modified>
</cp:coreProperties>
</file>